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6138C02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12bis</w:t>
      </w:r>
      <w:r w:rsidR="00D242A6">
        <w:t>-e</w:t>
      </w:r>
      <w:r w:rsidRPr="00CE0424">
        <w:tab/>
      </w:r>
      <w:r w:rsidR="002D47DB" w:rsidRPr="002D47DB">
        <w:rPr>
          <w:sz w:val="32"/>
          <w:szCs w:val="32"/>
        </w:rPr>
        <w:t>R1-2</w:t>
      </w:r>
      <w:r w:rsidR="00494B14" w:rsidRPr="00CF4CBC">
        <w:rPr>
          <w:sz w:val="32"/>
          <w:szCs w:val="32"/>
        </w:rPr>
        <w:t>3</w:t>
      </w:r>
      <w:r w:rsidR="00CF4CBC" w:rsidRPr="00CF4CBC">
        <w:rPr>
          <w:sz w:val="32"/>
          <w:szCs w:val="32"/>
        </w:rPr>
        <w:t>02415</w:t>
      </w:r>
    </w:p>
    <w:p w14:paraId="62CC9869" w14:textId="70F8B45A" w:rsidR="00E90E49" w:rsidRPr="00CE0424" w:rsidRDefault="00A30565" w:rsidP="00311702">
      <w:pPr>
        <w:pStyle w:val="3GPPHeader"/>
      </w:pPr>
      <w:r>
        <w:t xml:space="preserve">e-Meeting, </w:t>
      </w:r>
      <w:r w:rsidR="00494B14">
        <w:t>April 17</w:t>
      </w:r>
      <w:r w:rsidR="00494B14" w:rsidRPr="00494B14">
        <w:rPr>
          <w:vertAlign w:val="superscript"/>
        </w:rPr>
        <w:t>th</w:t>
      </w:r>
      <w:r w:rsidR="00494B14">
        <w:t xml:space="preserve"> – April 26</w:t>
      </w:r>
      <w:r w:rsidR="00494B14" w:rsidRPr="00494B14">
        <w:rPr>
          <w:vertAlign w:val="superscript"/>
        </w:rPr>
        <w:t>th</w:t>
      </w:r>
      <w:r>
        <w:t>, 202</w:t>
      </w:r>
      <w:r w:rsidR="0057586F">
        <w:t>2</w:t>
      </w:r>
      <w:r>
        <w:t xml:space="preserve"> </w:t>
      </w:r>
    </w:p>
    <w:p w14:paraId="5DFFF159" w14:textId="77777777" w:rsidR="00E90E49" w:rsidRPr="00CE0424" w:rsidRDefault="00E90E49" w:rsidP="00357380">
      <w:pPr>
        <w:pStyle w:val="3GPPHeader"/>
      </w:pPr>
    </w:p>
    <w:p w14:paraId="7A0A51EB" w14:textId="24DADB15"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94B14">
        <w:rPr>
          <w:sz w:val="22"/>
          <w:szCs w:val="22"/>
          <w:lang w:val="en-US"/>
        </w:rPr>
        <w:t>9.17.</w:t>
      </w:r>
      <w:r w:rsidR="007E6CB1">
        <w:rPr>
          <w:sz w:val="22"/>
          <w:szCs w:val="22"/>
          <w:lang w:val="en-US"/>
        </w:rPr>
        <w:t>15</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DD96292"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 xml:space="preserve">UE features for </w:t>
      </w:r>
      <w:r w:rsidR="00494B14">
        <w:rPr>
          <w:sz w:val="22"/>
          <w:szCs w:val="22"/>
        </w:rPr>
        <w:t>BWP without restriction</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5DAE8A8" w14:textId="17046F03" w:rsidR="000D63C2" w:rsidRPr="00CE0424" w:rsidRDefault="00D83542" w:rsidP="007E6CB1">
      <w:pPr>
        <w:pStyle w:val="BodyText"/>
      </w:pPr>
      <w:r>
        <w:t xml:space="preserve">In this contribution, we discuss the UE features for </w:t>
      </w:r>
      <w:r w:rsidR="007E6CB1">
        <w:t>BWP without restriction</w:t>
      </w:r>
      <w:r>
        <w:t>.</w:t>
      </w:r>
      <w:r w:rsidR="00523CBA">
        <w:t xml:space="preserve"> </w:t>
      </w:r>
    </w:p>
    <w:p w14:paraId="6D9BA07B" w14:textId="5D9A0DF0" w:rsidR="004000E8" w:rsidRDefault="00230D18" w:rsidP="00CE0424">
      <w:pPr>
        <w:pStyle w:val="Heading1"/>
      </w:pPr>
      <w:bookmarkStart w:id="0" w:name="_Ref178064866"/>
      <w:r>
        <w:t>2</w:t>
      </w:r>
      <w:r>
        <w:tab/>
      </w:r>
      <w:r w:rsidR="004000E8" w:rsidRPr="00CE0424">
        <w:t>Discussion</w:t>
      </w:r>
      <w:bookmarkEnd w:id="0"/>
    </w:p>
    <w:p w14:paraId="0981E932" w14:textId="72433084" w:rsidR="007813A1" w:rsidRDefault="000210F6" w:rsidP="00575F93">
      <w:pPr>
        <w:pStyle w:val="BodyText"/>
        <w:jc w:val="left"/>
      </w:pPr>
      <w:r>
        <w:t xml:space="preserve">In BWPs without cell-defining (CD) SSB, the UE can be configured to perform beam management (BM), radio link monitoring (RLM) and beam failure detection (BFD) based on CSI-RS. In </w:t>
      </w:r>
      <w:r>
        <w:fldChar w:fldCharType="begin"/>
      </w:r>
      <w:r>
        <w:instrText xml:space="preserve"> REF _Ref131174580 \r \h </w:instrText>
      </w:r>
      <w:r w:rsidR="00575F93">
        <w:instrText xml:space="preserve"> \* MERGEFORMAT </w:instrText>
      </w:r>
      <w:r>
        <w:fldChar w:fldCharType="separate"/>
      </w:r>
      <w:r w:rsidR="00EC57BB">
        <w:t>[1]</w:t>
      </w:r>
      <w:r>
        <w:fldChar w:fldCharType="end"/>
      </w:r>
      <w:r>
        <w:t>, a new WI is described to introduce additional ways for the UE to perform BM/RLM/BFD in a BWP without CD-SSB.</w:t>
      </w:r>
    </w:p>
    <w:p w14:paraId="16A9360F" w14:textId="1828CA24" w:rsidR="004352C0" w:rsidRDefault="004352C0" w:rsidP="00575F93">
      <w:pPr>
        <w:pStyle w:val="BodyText"/>
        <w:jc w:val="left"/>
      </w:pPr>
      <w:r>
        <w:t>In this contribution, we propose UE features for this functionality.</w:t>
      </w:r>
    </w:p>
    <w:p w14:paraId="33DCAB2D" w14:textId="43AED911" w:rsidR="004352C0" w:rsidRPr="004352C0" w:rsidRDefault="004352C0" w:rsidP="004352C0">
      <w:pPr>
        <w:jc w:val="both"/>
        <w:rPr>
          <w:rFonts w:ascii="Arial" w:eastAsia="DengXian" w:hAnsi="Arial" w:cs="Arial"/>
          <w:iCs/>
          <w:lang w:eastAsia="zh-CN"/>
        </w:rPr>
      </w:pPr>
      <w:r w:rsidRPr="004352C0">
        <w:rPr>
          <w:rFonts w:ascii="Arial" w:eastAsia="DengXian" w:hAnsi="Arial" w:cs="Arial"/>
          <w:iCs/>
          <w:lang w:eastAsia="zh-CN"/>
        </w:rPr>
        <w:t>According to the discussion in RAN, RAN4 and RAN1, the following potential solutions were identified in</w:t>
      </w:r>
      <w:r w:rsidR="003A50EA">
        <w:rPr>
          <w:rFonts w:ascii="Arial" w:eastAsia="DengXian" w:hAnsi="Arial" w:cs="Arial"/>
          <w:iCs/>
          <w:lang w:eastAsia="zh-CN"/>
        </w:rPr>
        <w:t xml:space="preserve"> </w:t>
      </w:r>
      <w:r w:rsidR="003A50EA">
        <w:rPr>
          <w:rFonts w:ascii="Arial" w:eastAsia="DengXian" w:hAnsi="Arial" w:cs="Arial"/>
          <w:iCs/>
          <w:lang w:eastAsia="zh-CN"/>
        </w:rPr>
        <w:fldChar w:fldCharType="begin"/>
      </w:r>
      <w:r w:rsidR="003A50EA">
        <w:rPr>
          <w:rFonts w:ascii="Arial" w:eastAsia="DengXian" w:hAnsi="Arial" w:cs="Arial"/>
          <w:iCs/>
          <w:lang w:eastAsia="zh-CN"/>
        </w:rPr>
        <w:instrText xml:space="preserve"> REF _Ref131433622 \r \h </w:instrText>
      </w:r>
      <w:r w:rsidR="003A50EA">
        <w:rPr>
          <w:rFonts w:ascii="Arial" w:eastAsia="DengXian" w:hAnsi="Arial" w:cs="Arial"/>
          <w:iCs/>
          <w:lang w:eastAsia="zh-CN"/>
        </w:rPr>
      </w:r>
      <w:r w:rsidR="003A50EA">
        <w:rPr>
          <w:rFonts w:ascii="Arial" w:eastAsia="DengXian" w:hAnsi="Arial" w:cs="Arial"/>
          <w:iCs/>
          <w:lang w:eastAsia="zh-CN"/>
        </w:rPr>
        <w:fldChar w:fldCharType="separate"/>
      </w:r>
      <w:r w:rsidR="003A50EA">
        <w:rPr>
          <w:rFonts w:ascii="Arial" w:eastAsia="DengXian" w:hAnsi="Arial" w:cs="Arial"/>
          <w:iCs/>
          <w:lang w:eastAsia="zh-CN"/>
        </w:rPr>
        <w:t>[2]</w:t>
      </w:r>
      <w:r w:rsidR="003A50EA">
        <w:rPr>
          <w:rFonts w:ascii="Arial" w:eastAsia="DengXian" w:hAnsi="Arial" w:cs="Arial"/>
          <w:iCs/>
          <w:lang w:eastAsia="zh-CN"/>
        </w:rPr>
        <w:fldChar w:fldCharType="end"/>
      </w:r>
      <w:r w:rsidRPr="004352C0">
        <w:rPr>
          <w:rFonts w:ascii="Arial" w:eastAsia="DengXian" w:hAnsi="Arial" w:cs="Arial"/>
          <w:iCs/>
          <w:lang w:eastAsia="zh-CN"/>
        </w:rPr>
        <w:t>:</w:t>
      </w:r>
    </w:p>
    <w:p w14:paraId="339FBCCF" w14:textId="77777777" w:rsidR="004352C0" w:rsidRPr="004352C0" w:rsidRDefault="004352C0" w:rsidP="004352C0">
      <w:pPr>
        <w:pStyle w:val="ListParagraph"/>
        <w:numPr>
          <w:ilvl w:val="0"/>
          <w:numId w:val="34"/>
        </w:numPr>
        <w:overflowPunct/>
        <w:autoSpaceDE/>
        <w:autoSpaceDN/>
        <w:adjustRightInd/>
        <w:spacing w:after="120" w:line="259" w:lineRule="auto"/>
        <w:ind w:left="720"/>
        <w:textAlignment w:val="auto"/>
        <w:rPr>
          <w:rFonts w:ascii="Arial" w:hAnsi="Arial" w:cs="Arial"/>
          <w:color w:val="000000"/>
          <w:sz w:val="20"/>
          <w:szCs w:val="20"/>
        </w:rPr>
      </w:pPr>
      <w:r w:rsidRPr="004352C0">
        <w:rPr>
          <w:rFonts w:ascii="Arial" w:hAnsi="Arial" w:cs="Arial"/>
          <w:color w:val="000000"/>
          <w:sz w:val="20"/>
          <w:szCs w:val="20"/>
        </w:rPr>
        <w:t>Option A) Perform BM/RLM/BFD based on CSI-RS within active BWP</w:t>
      </w:r>
    </w:p>
    <w:p w14:paraId="121B146A" w14:textId="77777777" w:rsidR="004352C0" w:rsidRPr="004352C0" w:rsidRDefault="004352C0" w:rsidP="004352C0">
      <w:pPr>
        <w:pStyle w:val="ListParagraph"/>
        <w:numPr>
          <w:ilvl w:val="0"/>
          <w:numId w:val="34"/>
        </w:numPr>
        <w:overflowPunct/>
        <w:autoSpaceDE/>
        <w:autoSpaceDN/>
        <w:adjustRightInd/>
        <w:spacing w:after="120" w:line="259" w:lineRule="auto"/>
        <w:ind w:left="720"/>
        <w:textAlignment w:val="auto"/>
        <w:rPr>
          <w:rFonts w:ascii="Arial" w:hAnsi="Arial" w:cs="Arial"/>
          <w:color w:val="000000"/>
          <w:sz w:val="20"/>
          <w:szCs w:val="20"/>
        </w:rPr>
      </w:pPr>
      <w:r w:rsidRPr="004352C0">
        <w:rPr>
          <w:rFonts w:ascii="Arial" w:hAnsi="Arial" w:cs="Arial"/>
          <w:color w:val="000000"/>
          <w:sz w:val="20"/>
          <w:szCs w:val="20"/>
        </w:rPr>
        <w:t>Option B) Perform BM/RLM/BFD based on SSB outside active BWP</w:t>
      </w:r>
    </w:p>
    <w:p w14:paraId="33EAD75D" w14:textId="77777777" w:rsidR="004352C0" w:rsidRPr="004352C0" w:rsidRDefault="004352C0" w:rsidP="004352C0">
      <w:pPr>
        <w:pStyle w:val="ListParagraph"/>
        <w:numPr>
          <w:ilvl w:val="1"/>
          <w:numId w:val="34"/>
        </w:numPr>
        <w:overflowPunct/>
        <w:autoSpaceDE/>
        <w:autoSpaceDN/>
        <w:adjustRightInd/>
        <w:spacing w:after="120" w:line="259" w:lineRule="auto"/>
        <w:ind w:left="1080"/>
        <w:textAlignment w:val="auto"/>
        <w:rPr>
          <w:rFonts w:ascii="Arial" w:hAnsi="Arial" w:cs="Arial"/>
          <w:color w:val="000000"/>
          <w:sz w:val="20"/>
          <w:szCs w:val="20"/>
        </w:rPr>
      </w:pPr>
      <w:r w:rsidRPr="004352C0">
        <w:rPr>
          <w:rFonts w:ascii="Arial" w:hAnsi="Arial" w:cs="Arial"/>
          <w:color w:val="000000"/>
          <w:sz w:val="20"/>
          <w:szCs w:val="20"/>
        </w:rPr>
        <w:t>Option B-1) UE’s capability not requiring additional measurement gap for BM/RLM/BFD</w:t>
      </w:r>
    </w:p>
    <w:p w14:paraId="5354CEBF" w14:textId="77777777" w:rsidR="004352C0" w:rsidRPr="004352C0" w:rsidRDefault="004352C0" w:rsidP="004352C0">
      <w:pPr>
        <w:pStyle w:val="ListParagraph"/>
        <w:numPr>
          <w:ilvl w:val="2"/>
          <w:numId w:val="34"/>
        </w:numPr>
        <w:overflowPunct/>
        <w:autoSpaceDE/>
        <w:autoSpaceDN/>
        <w:adjustRightInd/>
        <w:spacing w:after="120" w:line="259" w:lineRule="auto"/>
        <w:ind w:left="1800"/>
        <w:textAlignment w:val="auto"/>
        <w:rPr>
          <w:rFonts w:ascii="Arial" w:hAnsi="Arial" w:cs="Arial"/>
          <w:color w:val="000000"/>
          <w:sz w:val="20"/>
          <w:szCs w:val="20"/>
        </w:rPr>
      </w:pPr>
      <w:r w:rsidRPr="004352C0">
        <w:rPr>
          <w:rFonts w:ascii="Arial" w:hAnsi="Arial" w:cs="Arial"/>
          <w:color w:val="000000"/>
          <w:sz w:val="20"/>
          <w:szCs w:val="20"/>
        </w:rPr>
        <w:t>Option B-1-1) Using larger BW covering SSB outside active BWP without interruptions</w:t>
      </w:r>
    </w:p>
    <w:p w14:paraId="778C458F" w14:textId="77777777" w:rsidR="004352C0" w:rsidRPr="004352C0" w:rsidRDefault="004352C0" w:rsidP="004352C0">
      <w:pPr>
        <w:pStyle w:val="ListParagraph"/>
        <w:numPr>
          <w:ilvl w:val="2"/>
          <w:numId w:val="34"/>
        </w:numPr>
        <w:overflowPunct/>
        <w:autoSpaceDE/>
        <w:autoSpaceDN/>
        <w:adjustRightInd/>
        <w:spacing w:after="120" w:line="259" w:lineRule="auto"/>
        <w:ind w:left="1800"/>
        <w:textAlignment w:val="auto"/>
        <w:rPr>
          <w:rFonts w:ascii="Arial" w:hAnsi="Arial" w:cs="Arial"/>
          <w:color w:val="000000"/>
          <w:sz w:val="20"/>
          <w:szCs w:val="20"/>
        </w:rPr>
      </w:pPr>
      <w:r w:rsidRPr="004352C0">
        <w:rPr>
          <w:rFonts w:ascii="Arial" w:hAnsi="Arial" w:cs="Arial"/>
          <w:color w:val="000000"/>
          <w:sz w:val="20"/>
          <w:szCs w:val="20"/>
        </w:rPr>
        <w:t>Option B-1-2) Using larger BW covering SSB outside active BWP with interruptions</w:t>
      </w:r>
    </w:p>
    <w:p w14:paraId="5B55666D" w14:textId="77777777" w:rsidR="004352C0" w:rsidRPr="004352C0" w:rsidRDefault="004352C0" w:rsidP="004352C0">
      <w:pPr>
        <w:pStyle w:val="ListParagraph"/>
        <w:numPr>
          <w:ilvl w:val="1"/>
          <w:numId w:val="34"/>
        </w:numPr>
        <w:overflowPunct/>
        <w:autoSpaceDE/>
        <w:autoSpaceDN/>
        <w:adjustRightInd/>
        <w:spacing w:after="120" w:line="259" w:lineRule="auto"/>
        <w:ind w:left="1080"/>
        <w:textAlignment w:val="auto"/>
        <w:rPr>
          <w:rFonts w:ascii="Arial" w:hAnsi="Arial" w:cs="Arial"/>
          <w:color w:val="000000"/>
          <w:sz w:val="20"/>
          <w:szCs w:val="20"/>
        </w:rPr>
      </w:pPr>
      <w:r w:rsidRPr="004352C0">
        <w:rPr>
          <w:rFonts w:ascii="Arial" w:hAnsi="Arial" w:cs="Arial"/>
          <w:color w:val="000000"/>
          <w:sz w:val="20"/>
          <w:szCs w:val="20"/>
        </w:rPr>
        <w:t>Option B-2) BM/RLM/BFD on SSB outside BWP within measurement gaps</w:t>
      </w:r>
    </w:p>
    <w:p w14:paraId="76473797" w14:textId="77777777" w:rsidR="004352C0" w:rsidRPr="004352C0" w:rsidRDefault="004352C0" w:rsidP="004352C0">
      <w:pPr>
        <w:pStyle w:val="ListParagraph"/>
        <w:numPr>
          <w:ilvl w:val="2"/>
          <w:numId w:val="34"/>
        </w:numPr>
        <w:overflowPunct/>
        <w:autoSpaceDE/>
        <w:autoSpaceDN/>
        <w:adjustRightInd/>
        <w:spacing w:after="120" w:line="259" w:lineRule="auto"/>
        <w:ind w:left="1800"/>
        <w:textAlignment w:val="auto"/>
        <w:rPr>
          <w:rFonts w:ascii="Arial" w:hAnsi="Arial" w:cs="Arial"/>
          <w:color w:val="000000"/>
          <w:sz w:val="20"/>
          <w:szCs w:val="20"/>
        </w:rPr>
      </w:pPr>
      <w:r w:rsidRPr="004352C0">
        <w:rPr>
          <w:rFonts w:ascii="Arial" w:hAnsi="Arial" w:cs="Arial"/>
          <w:color w:val="000000"/>
          <w:sz w:val="20"/>
          <w:szCs w:val="20"/>
        </w:rPr>
        <w:t>Option B-2-2) Dedicated MG or NCSG for RLM/BFD/BM measurements</w:t>
      </w:r>
    </w:p>
    <w:p w14:paraId="4B55C112" w14:textId="3C413B88" w:rsidR="004352C0" w:rsidRPr="004352C0" w:rsidRDefault="004352C0" w:rsidP="00575F93">
      <w:pPr>
        <w:pStyle w:val="ListParagraph"/>
        <w:numPr>
          <w:ilvl w:val="0"/>
          <w:numId w:val="34"/>
        </w:numPr>
        <w:overflowPunct/>
        <w:autoSpaceDE/>
        <w:autoSpaceDN/>
        <w:adjustRightInd/>
        <w:spacing w:after="120" w:line="259" w:lineRule="auto"/>
        <w:ind w:left="720"/>
        <w:textAlignment w:val="auto"/>
        <w:rPr>
          <w:rFonts w:ascii="Arial" w:hAnsi="Arial" w:cs="Arial"/>
          <w:color w:val="000000"/>
          <w:sz w:val="20"/>
          <w:szCs w:val="20"/>
        </w:rPr>
      </w:pPr>
      <w:r w:rsidRPr="004352C0">
        <w:rPr>
          <w:rFonts w:ascii="Arial" w:hAnsi="Arial" w:cs="Arial"/>
          <w:color w:val="000000"/>
          <w:sz w:val="20"/>
          <w:szCs w:val="20"/>
        </w:rPr>
        <w:t>Option C) NCD-SSB approach which would work with existing UE hardware architectures (FG6-1) and be compatible with existing RAN4 specifications for BM/RLM/BFD</w:t>
      </w:r>
    </w:p>
    <w:p w14:paraId="27E18184" w14:textId="0222072F" w:rsidR="00575F93" w:rsidRDefault="00575F93" w:rsidP="00575F93">
      <w:pPr>
        <w:pStyle w:val="BodyText"/>
        <w:jc w:val="left"/>
      </w:pPr>
      <w:r>
        <w:t>RAN plenary agreed to support three additional ways to support BWP without restriction:</w:t>
      </w:r>
    </w:p>
    <w:p w14:paraId="57DD4701" w14:textId="77777777" w:rsidR="00575F93" w:rsidRDefault="00575F93" w:rsidP="00575F93">
      <w:pPr>
        <w:pStyle w:val="BodyText"/>
        <w:jc w:val="left"/>
      </w:pPr>
      <w:r>
        <w:rPr>
          <w:noProof/>
        </w:rPr>
        <w:lastRenderedPageBreak/>
        <mc:AlternateContent>
          <mc:Choice Requires="wps">
            <w:drawing>
              <wp:inline distT="0" distB="0" distL="0" distR="0" wp14:anchorId="20A310CF" wp14:editId="664F12BC">
                <wp:extent cx="6120765" cy="639758"/>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7D7D171" w14:textId="77777777" w:rsidR="00575F93" w:rsidRPr="004352C0" w:rsidRDefault="00575F93" w:rsidP="00575F93">
                            <w:pPr>
                              <w:rPr>
                                <w:i/>
                                <w:iCs/>
                                <w:szCs w:val="24"/>
                              </w:rPr>
                            </w:pPr>
                            <w:r w:rsidRPr="004352C0">
                              <w:rPr>
                                <w:szCs w:val="22"/>
                              </w:rPr>
                              <w:t xml:space="preserve">Proposal: Noting that Option A is already “Mandatory with Capability signalling”, </w:t>
                            </w:r>
                            <w:r w:rsidRPr="004352C0">
                              <w:rPr>
                                <w:i/>
                                <w:iCs/>
                                <w:szCs w:val="24"/>
                              </w:rPr>
                              <w:t>support the following optional UE features in Rel-18:</w:t>
                            </w:r>
                          </w:p>
                          <w:p w14:paraId="7D8A99CA" w14:textId="77777777" w:rsidR="00575F93" w:rsidRPr="004352C0" w:rsidRDefault="00575F93" w:rsidP="00575F93">
                            <w:pPr>
                              <w:pStyle w:val="ListParagraph"/>
                              <w:numPr>
                                <w:ilvl w:val="0"/>
                                <w:numId w:val="34"/>
                              </w:numPr>
                              <w:overflowPunct/>
                              <w:autoSpaceDE/>
                              <w:autoSpaceDN/>
                              <w:adjustRightInd/>
                              <w:spacing w:after="120" w:line="259" w:lineRule="auto"/>
                              <w:ind w:left="720"/>
                              <w:textAlignment w:val="auto"/>
                              <w:rPr>
                                <w:rFonts w:ascii="Times New Roman" w:hAnsi="Times New Roman"/>
                                <w:color w:val="000000"/>
                                <w:sz w:val="20"/>
                                <w:szCs w:val="20"/>
                              </w:rPr>
                            </w:pPr>
                            <w:r w:rsidRPr="004352C0">
                              <w:rPr>
                                <w:rFonts w:ascii="Times New Roman" w:hAnsi="Times New Roman"/>
                                <w:color w:val="000000"/>
                                <w:sz w:val="20"/>
                                <w:szCs w:val="20"/>
                              </w:rPr>
                              <w:t xml:space="preserve">Option B-1-1 without early </w:t>
                            </w:r>
                            <w:proofErr w:type="spellStart"/>
                            <w:r w:rsidRPr="004352C0">
                              <w:rPr>
                                <w:rFonts w:ascii="Times New Roman" w:hAnsi="Times New Roman"/>
                                <w:color w:val="000000"/>
                                <w:sz w:val="20"/>
                                <w:szCs w:val="20"/>
                              </w:rPr>
                              <w:t>implementability</w:t>
                            </w:r>
                            <w:proofErr w:type="spellEnd"/>
                            <w:r w:rsidRPr="004352C0">
                              <w:rPr>
                                <w:rFonts w:ascii="Times New Roman" w:hAnsi="Times New Roman"/>
                                <w:color w:val="000000"/>
                                <w:sz w:val="20"/>
                                <w:szCs w:val="20"/>
                              </w:rPr>
                              <w:t>; and</w:t>
                            </w:r>
                          </w:p>
                          <w:p w14:paraId="493ACDFF" w14:textId="77777777" w:rsidR="00575F93" w:rsidRPr="004352C0" w:rsidRDefault="00575F93" w:rsidP="00575F93">
                            <w:pPr>
                              <w:pStyle w:val="ListParagraph"/>
                              <w:numPr>
                                <w:ilvl w:val="0"/>
                                <w:numId w:val="34"/>
                              </w:numPr>
                              <w:overflowPunct/>
                              <w:autoSpaceDE/>
                              <w:autoSpaceDN/>
                              <w:adjustRightInd/>
                              <w:spacing w:after="120" w:line="259" w:lineRule="auto"/>
                              <w:ind w:left="720"/>
                              <w:textAlignment w:val="auto"/>
                              <w:rPr>
                                <w:rFonts w:ascii="Times New Roman" w:hAnsi="Times New Roman"/>
                                <w:color w:val="000000"/>
                                <w:sz w:val="20"/>
                                <w:szCs w:val="20"/>
                              </w:rPr>
                            </w:pPr>
                            <w:r w:rsidRPr="004352C0">
                              <w:rPr>
                                <w:rFonts w:ascii="Times New Roman" w:hAnsi="Times New Roman"/>
                                <w:color w:val="000000"/>
                                <w:sz w:val="20"/>
                                <w:szCs w:val="20"/>
                              </w:rPr>
                              <w:t>Option C; and</w:t>
                            </w:r>
                          </w:p>
                          <w:p w14:paraId="6FFD93F7" w14:textId="77777777" w:rsidR="00575F93" w:rsidRPr="004352C0" w:rsidRDefault="00575F93" w:rsidP="00575F93">
                            <w:pPr>
                              <w:pStyle w:val="ListParagraph"/>
                              <w:numPr>
                                <w:ilvl w:val="0"/>
                                <w:numId w:val="34"/>
                              </w:numPr>
                              <w:overflowPunct/>
                              <w:autoSpaceDE/>
                              <w:autoSpaceDN/>
                              <w:adjustRightInd/>
                              <w:spacing w:after="120" w:line="259" w:lineRule="auto"/>
                              <w:ind w:left="720"/>
                              <w:textAlignment w:val="auto"/>
                              <w:rPr>
                                <w:rFonts w:ascii="Times New Roman" w:hAnsi="Times New Roman"/>
                                <w:color w:val="000000"/>
                                <w:sz w:val="20"/>
                                <w:szCs w:val="20"/>
                              </w:rPr>
                            </w:pPr>
                            <w:r w:rsidRPr="004352C0">
                              <w:rPr>
                                <w:rFonts w:ascii="Times New Roman" w:hAnsi="Times New Roman"/>
                                <w:color w:val="000000"/>
                                <w:sz w:val="20"/>
                                <w:szCs w:val="20"/>
                              </w:rPr>
                              <w:t>Option B-1-2 with the conditions that:</w:t>
                            </w:r>
                          </w:p>
                          <w:p w14:paraId="6E224CE2" w14:textId="77777777" w:rsidR="00575F93" w:rsidRPr="004352C0" w:rsidRDefault="00575F93" w:rsidP="00575F93">
                            <w:pPr>
                              <w:pStyle w:val="ListParagraph"/>
                              <w:numPr>
                                <w:ilvl w:val="1"/>
                                <w:numId w:val="35"/>
                              </w:numPr>
                              <w:overflowPunct/>
                              <w:autoSpaceDE/>
                              <w:autoSpaceDN/>
                              <w:adjustRightInd/>
                              <w:spacing w:after="120" w:line="259" w:lineRule="auto"/>
                              <w:textAlignment w:val="auto"/>
                              <w:rPr>
                                <w:rFonts w:ascii="Times New Roman" w:hAnsi="Times New Roman"/>
                                <w:color w:val="000000"/>
                                <w:sz w:val="20"/>
                                <w:szCs w:val="20"/>
                              </w:rPr>
                            </w:pPr>
                            <w:r w:rsidRPr="004352C0">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34EC7882" w14:textId="77777777" w:rsidR="00575F93" w:rsidRPr="004352C0" w:rsidRDefault="00575F93" w:rsidP="00575F93">
                            <w:pPr>
                              <w:pStyle w:val="ListParagraph"/>
                              <w:numPr>
                                <w:ilvl w:val="1"/>
                                <w:numId w:val="35"/>
                              </w:numPr>
                              <w:overflowPunct/>
                              <w:autoSpaceDE/>
                              <w:autoSpaceDN/>
                              <w:adjustRightInd/>
                              <w:spacing w:after="120" w:line="259" w:lineRule="auto"/>
                              <w:textAlignment w:val="auto"/>
                              <w:rPr>
                                <w:rFonts w:ascii="Times New Roman" w:hAnsi="Times New Roman"/>
                                <w:sz w:val="20"/>
                              </w:rPr>
                            </w:pPr>
                            <w:r w:rsidRPr="004352C0">
                              <w:rPr>
                                <w:rFonts w:ascii="Times New Roman" w:hAnsi="Times New Roman"/>
                                <w:color w:val="000000"/>
                                <w:sz w:val="20"/>
                                <w:szCs w:val="20"/>
                              </w:rPr>
                              <w:t xml:space="preserve">UE shall support option (C) NCD-SSB (subject to </w:t>
                            </w:r>
                            <w:proofErr w:type="spellStart"/>
                            <w:r w:rsidRPr="004352C0">
                              <w:rPr>
                                <w:rFonts w:ascii="Times New Roman" w:hAnsi="Times New Roman"/>
                                <w:color w:val="000000"/>
                                <w:sz w:val="20"/>
                                <w:szCs w:val="20"/>
                              </w:rPr>
                              <w:t>IoDT</w:t>
                            </w:r>
                            <w:proofErr w:type="spellEnd"/>
                            <w:r w:rsidRPr="004352C0">
                              <w:rPr>
                                <w:rFonts w:ascii="Times New Roman" w:hAnsi="Times New Roman"/>
                                <w:color w:val="000000"/>
                                <w:sz w:val="20"/>
                                <w:szCs w:val="20"/>
                              </w:rPr>
                              <w:t xml:space="preserve"> availability); and</w:t>
                            </w:r>
                          </w:p>
                          <w:p w14:paraId="2432B3ED" w14:textId="0A575E4F" w:rsidR="00575F93" w:rsidRPr="004352C0" w:rsidRDefault="00575F93" w:rsidP="00575F93">
                            <w:pPr>
                              <w:pStyle w:val="ListParagraph"/>
                              <w:numPr>
                                <w:ilvl w:val="1"/>
                                <w:numId w:val="35"/>
                              </w:numPr>
                              <w:overflowPunct/>
                              <w:autoSpaceDE/>
                              <w:autoSpaceDN/>
                              <w:adjustRightInd/>
                              <w:spacing w:after="120" w:line="259" w:lineRule="auto"/>
                              <w:textAlignment w:val="auto"/>
                              <w:rPr>
                                <w:rFonts w:ascii="Times New Roman" w:hAnsi="Times New Roman"/>
                                <w:sz w:val="20"/>
                              </w:rPr>
                            </w:pPr>
                            <w:r w:rsidRPr="004352C0">
                              <w:rPr>
                                <w:rFonts w:ascii="Times New Roman" w:hAnsi="Times New Roman"/>
                                <w:color w:val="000000"/>
                                <w:sz w:val="20"/>
                                <w:szCs w:val="20"/>
                              </w:rPr>
                              <w:t>The interruption related requirements will be decided and specified in RAN4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0A310CF"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07D7D171" w14:textId="77777777" w:rsidR="00575F93" w:rsidRPr="004352C0" w:rsidRDefault="00575F93" w:rsidP="00575F93">
                      <w:pPr>
                        <w:rPr>
                          <w:i/>
                          <w:iCs/>
                          <w:szCs w:val="24"/>
                        </w:rPr>
                      </w:pPr>
                      <w:r w:rsidRPr="004352C0">
                        <w:rPr>
                          <w:szCs w:val="22"/>
                        </w:rPr>
                        <w:t xml:space="preserve">Proposal: Noting that Option A is already “Mandatory with Capability signalling”, </w:t>
                      </w:r>
                      <w:r w:rsidRPr="004352C0">
                        <w:rPr>
                          <w:i/>
                          <w:iCs/>
                          <w:szCs w:val="24"/>
                        </w:rPr>
                        <w:t>support the following optional UE features in Rel-18:</w:t>
                      </w:r>
                    </w:p>
                    <w:p w14:paraId="7D8A99CA" w14:textId="77777777" w:rsidR="00575F93" w:rsidRPr="004352C0" w:rsidRDefault="00575F93" w:rsidP="00575F93">
                      <w:pPr>
                        <w:pStyle w:val="ListParagraph"/>
                        <w:numPr>
                          <w:ilvl w:val="0"/>
                          <w:numId w:val="34"/>
                        </w:numPr>
                        <w:overflowPunct/>
                        <w:autoSpaceDE/>
                        <w:autoSpaceDN/>
                        <w:adjustRightInd/>
                        <w:spacing w:after="120" w:line="259" w:lineRule="auto"/>
                        <w:ind w:left="720"/>
                        <w:textAlignment w:val="auto"/>
                        <w:rPr>
                          <w:rFonts w:ascii="Times New Roman" w:hAnsi="Times New Roman"/>
                          <w:color w:val="000000"/>
                          <w:sz w:val="20"/>
                          <w:szCs w:val="20"/>
                        </w:rPr>
                      </w:pPr>
                      <w:r w:rsidRPr="004352C0">
                        <w:rPr>
                          <w:rFonts w:ascii="Times New Roman" w:hAnsi="Times New Roman"/>
                          <w:color w:val="000000"/>
                          <w:sz w:val="20"/>
                          <w:szCs w:val="20"/>
                        </w:rPr>
                        <w:t xml:space="preserve">Option B-1-1 without early </w:t>
                      </w:r>
                      <w:proofErr w:type="spellStart"/>
                      <w:r w:rsidRPr="004352C0">
                        <w:rPr>
                          <w:rFonts w:ascii="Times New Roman" w:hAnsi="Times New Roman"/>
                          <w:color w:val="000000"/>
                          <w:sz w:val="20"/>
                          <w:szCs w:val="20"/>
                        </w:rPr>
                        <w:t>implementability</w:t>
                      </w:r>
                      <w:proofErr w:type="spellEnd"/>
                      <w:r w:rsidRPr="004352C0">
                        <w:rPr>
                          <w:rFonts w:ascii="Times New Roman" w:hAnsi="Times New Roman"/>
                          <w:color w:val="000000"/>
                          <w:sz w:val="20"/>
                          <w:szCs w:val="20"/>
                        </w:rPr>
                        <w:t>; and</w:t>
                      </w:r>
                    </w:p>
                    <w:p w14:paraId="493ACDFF" w14:textId="77777777" w:rsidR="00575F93" w:rsidRPr="004352C0" w:rsidRDefault="00575F93" w:rsidP="00575F93">
                      <w:pPr>
                        <w:pStyle w:val="ListParagraph"/>
                        <w:numPr>
                          <w:ilvl w:val="0"/>
                          <w:numId w:val="34"/>
                        </w:numPr>
                        <w:overflowPunct/>
                        <w:autoSpaceDE/>
                        <w:autoSpaceDN/>
                        <w:adjustRightInd/>
                        <w:spacing w:after="120" w:line="259" w:lineRule="auto"/>
                        <w:ind w:left="720"/>
                        <w:textAlignment w:val="auto"/>
                        <w:rPr>
                          <w:rFonts w:ascii="Times New Roman" w:hAnsi="Times New Roman"/>
                          <w:color w:val="000000"/>
                          <w:sz w:val="20"/>
                          <w:szCs w:val="20"/>
                        </w:rPr>
                      </w:pPr>
                      <w:r w:rsidRPr="004352C0">
                        <w:rPr>
                          <w:rFonts w:ascii="Times New Roman" w:hAnsi="Times New Roman"/>
                          <w:color w:val="000000"/>
                          <w:sz w:val="20"/>
                          <w:szCs w:val="20"/>
                        </w:rPr>
                        <w:t>Option C; and</w:t>
                      </w:r>
                    </w:p>
                    <w:p w14:paraId="6FFD93F7" w14:textId="77777777" w:rsidR="00575F93" w:rsidRPr="004352C0" w:rsidRDefault="00575F93" w:rsidP="00575F93">
                      <w:pPr>
                        <w:pStyle w:val="ListParagraph"/>
                        <w:numPr>
                          <w:ilvl w:val="0"/>
                          <w:numId w:val="34"/>
                        </w:numPr>
                        <w:overflowPunct/>
                        <w:autoSpaceDE/>
                        <w:autoSpaceDN/>
                        <w:adjustRightInd/>
                        <w:spacing w:after="120" w:line="259" w:lineRule="auto"/>
                        <w:ind w:left="720"/>
                        <w:textAlignment w:val="auto"/>
                        <w:rPr>
                          <w:rFonts w:ascii="Times New Roman" w:hAnsi="Times New Roman"/>
                          <w:color w:val="000000"/>
                          <w:sz w:val="20"/>
                          <w:szCs w:val="20"/>
                        </w:rPr>
                      </w:pPr>
                      <w:r w:rsidRPr="004352C0">
                        <w:rPr>
                          <w:rFonts w:ascii="Times New Roman" w:hAnsi="Times New Roman"/>
                          <w:color w:val="000000"/>
                          <w:sz w:val="20"/>
                          <w:szCs w:val="20"/>
                        </w:rPr>
                        <w:t>Option B-1-2 with the conditions that:</w:t>
                      </w:r>
                    </w:p>
                    <w:p w14:paraId="6E224CE2" w14:textId="77777777" w:rsidR="00575F93" w:rsidRPr="004352C0" w:rsidRDefault="00575F93" w:rsidP="00575F93">
                      <w:pPr>
                        <w:pStyle w:val="ListParagraph"/>
                        <w:numPr>
                          <w:ilvl w:val="1"/>
                          <w:numId w:val="35"/>
                        </w:numPr>
                        <w:overflowPunct/>
                        <w:autoSpaceDE/>
                        <w:autoSpaceDN/>
                        <w:adjustRightInd/>
                        <w:spacing w:after="120" w:line="259" w:lineRule="auto"/>
                        <w:textAlignment w:val="auto"/>
                        <w:rPr>
                          <w:rFonts w:ascii="Times New Roman" w:hAnsi="Times New Roman"/>
                          <w:color w:val="000000"/>
                          <w:sz w:val="20"/>
                          <w:szCs w:val="20"/>
                        </w:rPr>
                      </w:pPr>
                      <w:r w:rsidRPr="004352C0">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34EC7882" w14:textId="77777777" w:rsidR="00575F93" w:rsidRPr="004352C0" w:rsidRDefault="00575F93" w:rsidP="00575F93">
                      <w:pPr>
                        <w:pStyle w:val="ListParagraph"/>
                        <w:numPr>
                          <w:ilvl w:val="1"/>
                          <w:numId w:val="35"/>
                        </w:numPr>
                        <w:overflowPunct/>
                        <w:autoSpaceDE/>
                        <w:autoSpaceDN/>
                        <w:adjustRightInd/>
                        <w:spacing w:after="120" w:line="259" w:lineRule="auto"/>
                        <w:textAlignment w:val="auto"/>
                        <w:rPr>
                          <w:rFonts w:ascii="Times New Roman" w:hAnsi="Times New Roman"/>
                          <w:sz w:val="20"/>
                        </w:rPr>
                      </w:pPr>
                      <w:r w:rsidRPr="004352C0">
                        <w:rPr>
                          <w:rFonts w:ascii="Times New Roman" w:hAnsi="Times New Roman"/>
                          <w:color w:val="000000"/>
                          <w:sz w:val="20"/>
                          <w:szCs w:val="20"/>
                        </w:rPr>
                        <w:t xml:space="preserve">UE shall support option (C) NCD-SSB (subject to </w:t>
                      </w:r>
                      <w:proofErr w:type="spellStart"/>
                      <w:r w:rsidRPr="004352C0">
                        <w:rPr>
                          <w:rFonts w:ascii="Times New Roman" w:hAnsi="Times New Roman"/>
                          <w:color w:val="000000"/>
                          <w:sz w:val="20"/>
                          <w:szCs w:val="20"/>
                        </w:rPr>
                        <w:t>IoDT</w:t>
                      </w:r>
                      <w:proofErr w:type="spellEnd"/>
                      <w:r w:rsidRPr="004352C0">
                        <w:rPr>
                          <w:rFonts w:ascii="Times New Roman" w:hAnsi="Times New Roman"/>
                          <w:color w:val="000000"/>
                          <w:sz w:val="20"/>
                          <w:szCs w:val="20"/>
                        </w:rPr>
                        <w:t xml:space="preserve"> availability); and</w:t>
                      </w:r>
                    </w:p>
                    <w:p w14:paraId="2432B3ED" w14:textId="0A575E4F" w:rsidR="00575F93" w:rsidRPr="004352C0" w:rsidRDefault="00575F93" w:rsidP="00575F93">
                      <w:pPr>
                        <w:pStyle w:val="ListParagraph"/>
                        <w:numPr>
                          <w:ilvl w:val="1"/>
                          <w:numId w:val="35"/>
                        </w:numPr>
                        <w:overflowPunct/>
                        <w:autoSpaceDE/>
                        <w:autoSpaceDN/>
                        <w:adjustRightInd/>
                        <w:spacing w:after="120" w:line="259" w:lineRule="auto"/>
                        <w:textAlignment w:val="auto"/>
                        <w:rPr>
                          <w:rFonts w:ascii="Times New Roman" w:hAnsi="Times New Roman"/>
                          <w:sz w:val="20"/>
                        </w:rPr>
                      </w:pPr>
                      <w:r w:rsidRPr="004352C0">
                        <w:rPr>
                          <w:rFonts w:ascii="Times New Roman" w:hAnsi="Times New Roman"/>
                          <w:color w:val="000000"/>
                          <w:sz w:val="20"/>
                          <w:szCs w:val="20"/>
                        </w:rPr>
                        <w:t>The interruption related requirements will be decided and specified in RAN4</w:t>
                      </w:r>
                    </w:p>
                  </w:txbxContent>
                </v:textbox>
                <w10:anchorlock/>
              </v:shape>
            </w:pict>
          </mc:Fallback>
        </mc:AlternateContent>
      </w:r>
    </w:p>
    <w:p w14:paraId="2696BC5C" w14:textId="4F73442C" w:rsidR="00575F93" w:rsidRDefault="00575F93" w:rsidP="00575F93">
      <w:pPr>
        <w:pStyle w:val="BodyText"/>
        <w:jc w:val="left"/>
      </w:pPr>
      <w:r>
        <w:t xml:space="preserve">We propose to combine B-1-1 and B-1-2 into one FG, with different values signalled. Our proposal is captured </w:t>
      </w:r>
      <w:r w:rsidR="00EC57BB">
        <w:t xml:space="preserve">in </w:t>
      </w:r>
      <w:r w:rsidR="00EC57BB">
        <w:fldChar w:fldCharType="begin"/>
      </w:r>
      <w:r w:rsidR="00EC57BB">
        <w:instrText xml:space="preserve"> REF _Ref131432784 \h </w:instrText>
      </w:r>
      <w:r w:rsidR="00EC57BB">
        <w:fldChar w:fldCharType="separate"/>
      </w:r>
      <w:r w:rsidR="00EC57BB">
        <w:t xml:space="preserve">Table </w:t>
      </w:r>
      <w:r w:rsidR="00EC57BB">
        <w:rPr>
          <w:noProof/>
        </w:rPr>
        <w:t>1</w:t>
      </w:r>
      <w:r w:rsidR="00EC57BB">
        <w:fldChar w:fldCharType="end"/>
      </w:r>
      <w:r w:rsidR="00EC57BB">
        <w:t>.</w:t>
      </w:r>
    </w:p>
    <w:p w14:paraId="6E6E0D53" w14:textId="084C1EEF" w:rsidR="00EC57BB" w:rsidRDefault="00EC57BB" w:rsidP="00EC57BB">
      <w:pPr>
        <w:pStyle w:val="Proposal"/>
      </w:pPr>
      <w:bookmarkStart w:id="1" w:name="_Toc131432842"/>
      <w:r>
        <w:t xml:space="preserve">Capture the UE capabilities for BWP without restriction provided in </w:t>
      </w:r>
      <w:r>
        <w:fldChar w:fldCharType="begin"/>
      </w:r>
      <w:r>
        <w:instrText xml:space="preserve"> REF _Ref131432784 \h </w:instrText>
      </w:r>
      <w:r>
        <w:fldChar w:fldCharType="separate"/>
      </w:r>
      <w:r>
        <w:t xml:space="preserve">Table </w:t>
      </w:r>
      <w:r>
        <w:rPr>
          <w:noProof/>
        </w:rPr>
        <w:t>1</w:t>
      </w:r>
      <w:r>
        <w:fldChar w:fldCharType="end"/>
      </w:r>
      <w:r>
        <w:t>.</w:t>
      </w:r>
      <w:bookmarkEnd w:id="1"/>
    </w:p>
    <w:p w14:paraId="1953059E" w14:textId="77777777" w:rsidR="00EC57BB" w:rsidRDefault="00EC57BB" w:rsidP="00575F93">
      <w:pPr>
        <w:pStyle w:val="BodyText"/>
        <w:jc w:val="left"/>
      </w:pPr>
    </w:p>
    <w:p w14:paraId="493405A1" w14:textId="77777777" w:rsidR="00EC57BB" w:rsidRDefault="00EC57BB" w:rsidP="00575F93">
      <w:pPr>
        <w:pStyle w:val="BodyText"/>
        <w:jc w:val="left"/>
      </w:pPr>
    </w:p>
    <w:p w14:paraId="0FE3024D" w14:textId="210B4A74" w:rsidR="00EC57BB" w:rsidRPr="00575F93" w:rsidRDefault="00EC57BB" w:rsidP="00575F93">
      <w:pPr>
        <w:pStyle w:val="BodyText"/>
        <w:jc w:val="left"/>
        <w:sectPr w:rsidR="00EC57BB"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A7B64CA" w14:textId="6F48A11F" w:rsidR="007813A1" w:rsidRPr="00A26103" w:rsidRDefault="00EC57BB" w:rsidP="00EC57BB">
      <w:pPr>
        <w:pStyle w:val="Caption"/>
        <w:rPr>
          <w:rFonts w:ascii="Arial" w:eastAsia="Batang" w:hAnsi="Arial"/>
          <w:sz w:val="32"/>
          <w:szCs w:val="32"/>
          <w:lang w:val="en-US" w:eastAsia="ko-KR"/>
        </w:rPr>
      </w:pPr>
      <w:bookmarkStart w:id="2" w:name="_Ref131432784"/>
      <w:r>
        <w:lastRenderedPageBreak/>
        <w:t xml:space="preserve">Table </w:t>
      </w:r>
      <w:r w:rsidR="009062CD">
        <w:fldChar w:fldCharType="begin"/>
      </w:r>
      <w:r w:rsidR="009062CD">
        <w:instrText xml:space="preserve"> SEQ Table \* ARABIC </w:instrText>
      </w:r>
      <w:r w:rsidR="009062CD">
        <w:fldChar w:fldCharType="separate"/>
      </w:r>
      <w:r>
        <w:rPr>
          <w:noProof/>
        </w:rPr>
        <w:t>1</w:t>
      </w:r>
      <w:r w:rsidR="009062CD">
        <w:rPr>
          <w:noProof/>
        </w:rPr>
        <w:fldChar w:fldCharType="end"/>
      </w:r>
      <w:bookmarkEnd w:id="2"/>
      <w:r>
        <w:t>: Proposed FGs for BWP with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87"/>
        <w:gridCol w:w="1726"/>
        <w:gridCol w:w="1883"/>
        <w:gridCol w:w="1407"/>
        <w:gridCol w:w="1506"/>
        <w:gridCol w:w="1820"/>
        <w:gridCol w:w="1938"/>
        <w:gridCol w:w="2429"/>
        <w:gridCol w:w="1594"/>
        <w:gridCol w:w="1587"/>
        <w:gridCol w:w="1814"/>
        <w:gridCol w:w="1037"/>
        <w:gridCol w:w="1907"/>
      </w:tblGrid>
      <w:tr w:rsidR="00EC57BB" w:rsidRPr="007813A1" w14:paraId="28E1711A"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hideMark/>
          </w:tcPr>
          <w:p w14:paraId="1AD68642"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2E94288"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9AA29DB"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149737"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0F9FEF5"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B6DF02"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96400B" w14:textId="77777777" w:rsidR="007813A1" w:rsidRPr="007813A1" w:rsidRDefault="007813A1" w:rsidP="002E3BF0">
            <w:pPr>
              <w:pStyle w:val="TAH"/>
              <w:rPr>
                <w:rFonts w:cs="Arial"/>
                <w:color w:val="000000" w:themeColor="text1"/>
                <w:szCs w:val="18"/>
              </w:rPr>
            </w:pPr>
            <w:r w:rsidRPr="007813A1">
              <w:rPr>
                <w:rFonts w:eastAsia="Gulim" w:cs="Arial"/>
                <w:color w:val="000000" w:themeColor="text1"/>
                <w:szCs w:val="18"/>
              </w:rPr>
              <w:t xml:space="preserve">Applicable to </w:t>
            </w:r>
            <w:r w:rsidRPr="007813A1">
              <w:rPr>
                <w:rFonts w:cs="Arial"/>
                <w:color w:val="000000" w:themeColor="text1"/>
                <w:szCs w:val="18"/>
              </w:rPr>
              <w:t xml:space="preserve">the capability signalling exchange between </w:t>
            </w:r>
            <w:proofErr w:type="spellStart"/>
            <w:r w:rsidRPr="007813A1">
              <w:rPr>
                <w:rFonts w:cs="Arial"/>
                <w:color w:val="000000" w:themeColor="text1"/>
                <w:szCs w:val="18"/>
              </w:rPr>
              <w:t>UEs</w:t>
            </w:r>
            <w:proofErr w:type="spellEnd"/>
            <w:r w:rsidRPr="007813A1">
              <w:rPr>
                <w:rFonts w:cs="Arial"/>
                <w:color w:val="000000" w:themeColor="text1"/>
                <w:szCs w:val="18"/>
              </w:rPr>
              <w:t xml:space="preserve"> (</w:t>
            </w:r>
            <w:proofErr w:type="spellStart"/>
            <w:r w:rsidRPr="007813A1">
              <w:rPr>
                <w:rFonts w:cs="Arial"/>
                <w:color w:val="000000" w:themeColor="text1"/>
                <w:szCs w:val="18"/>
              </w:rPr>
              <w:t>Sidelink</w:t>
            </w:r>
            <w:proofErr w:type="spellEnd"/>
            <w:r w:rsidRPr="007813A1">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23CA8C" w14:textId="77777777" w:rsidR="007813A1" w:rsidRPr="007813A1" w:rsidRDefault="007813A1" w:rsidP="002E3BF0">
            <w:pPr>
              <w:pStyle w:val="TAN"/>
              <w:ind w:left="0" w:firstLine="0"/>
              <w:rPr>
                <w:rFonts w:cs="Arial"/>
                <w:b/>
                <w:color w:val="000000" w:themeColor="text1"/>
                <w:szCs w:val="18"/>
                <w:lang w:eastAsia="ja-JP"/>
              </w:rPr>
            </w:pPr>
            <w:r w:rsidRPr="007813A1">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1E5412" w14:textId="77777777" w:rsidR="007813A1" w:rsidRPr="007813A1" w:rsidRDefault="007813A1" w:rsidP="002E3BF0">
            <w:pPr>
              <w:pStyle w:val="TAN"/>
              <w:ind w:left="0" w:firstLine="0"/>
              <w:rPr>
                <w:rFonts w:cs="Arial"/>
                <w:b/>
                <w:color w:val="000000" w:themeColor="text1"/>
                <w:szCs w:val="18"/>
                <w:lang w:eastAsia="ja-JP"/>
              </w:rPr>
            </w:pPr>
            <w:r w:rsidRPr="007813A1">
              <w:rPr>
                <w:rFonts w:cs="Arial"/>
                <w:b/>
                <w:color w:val="000000" w:themeColor="text1"/>
                <w:szCs w:val="18"/>
                <w:lang w:eastAsia="ja-JP"/>
              </w:rPr>
              <w:t>Type</w:t>
            </w:r>
          </w:p>
          <w:p w14:paraId="408C1014" w14:textId="77777777" w:rsidR="007813A1" w:rsidRPr="007813A1" w:rsidRDefault="007813A1" w:rsidP="002E3BF0">
            <w:pPr>
              <w:pStyle w:val="TAN"/>
              <w:ind w:left="0" w:firstLine="0"/>
              <w:rPr>
                <w:rFonts w:cs="Arial"/>
                <w:b/>
                <w:color w:val="000000" w:themeColor="text1"/>
                <w:szCs w:val="18"/>
                <w:lang w:eastAsia="ja-JP"/>
              </w:rPr>
            </w:pPr>
            <w:r w:rsidRPr="007813A1">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51AB6D"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2A5E78"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Need of FR1/FR2 differentiation</w:t>
            </w:r>
          </w:p>
        </w:tc>
        <w:tc>
          <w:tcPr>
            <w:tcW w:w="1814" w:type="dxa"/>
            <w:tcBorders>
              <w:top w:val="single" w:sz="4" w:space="0" w:color="auto"/>
              <w:left w:val="single" w:sz="4" w:space="0" w:color="auto"/>
              <w:bottom w:val="single" w:sz="4" w:space="0" w:color="auto"/>
              <w:right w:val="single" w:sz="4" w:space="0" w:color="auto"/>
            </w:tcBorders>
            <w:hideMark/>
          </w:tcPr>
          <w:p w14:paraId="047714B0"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Capability interpretation for mixture of FDD/TDD and/or FR1/FR2</w:t>
            </w:r>
          </w:p>
        </w:tc>
        <w:tc>
          <w:tcPr>
            <w:tcW w:w="1037" w:type="dxa"/>
            <w:tcBorders>
              <w:top w:val="single" w:sz="4" w:space="0" w:color="auto"/>
              <w:left w:val="single" w:sz="4" w:space="0" w:color="auto"/>
              <w:bottom w:val="single" w:sz="4" w:space="0" w:color="auto"/>
              <w:right w:val="single" w:sz="4" w:space="0" w:color="auto"/>
            </w:tcBorders>
            <w:hideMark/>
          </w:tcPr>
          <w:p w14:paraId="67615769"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C634F2F" w14:textId="77777777" w:rsidR="007813A1" w:rsidRPr="007813A1" w:rsidRDefault="007813A1" w:rsidP="002E3BF0">
            <w:pPr>
              <w:pStyle w:val="TAH"/>
              <w:rPr>
                <w:rFonts w:cs="Arial"/>
                <w:color w:val="000000" w:themeColor="text1"/>
                <w:szCs w:val="18"/>
              </w:rPr>
            </w:pPr>
            <w:r w:rsidRPr="007813A1">
              <w:rPr>
                <w:rFonts w:cs="Arial"/>
                <w:color w:val="000000" w:themeColor="text1"/>
                <w:szCs w:val="18"/>
              </w:rPr>
              <w:t>Mandatory/Optional</w:t>
            </w:r>
          </w:p>
        </w:tc>
      </w:tr>
      <w:tr w:rsidR="00EC57BB" w:rsidRPr="007813A1" w14:paraId="0A565898"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C0AB" w14:textId="77777777" w:rsidR="007813A1" w:rsidRPr="007813A1" w:rsidRDefault="007813A1" w:rsidP="002E3BF0">
            <w:pPr>
              <w:pStyle w:val="TAL"/>
              <w:rPr>
                <w:rFonts w:cs="Arial"/>
                <w:color w:val="000000" w:themeColor="text1"/>
                <w:szCs w:val="18"/>
                <w:lang w:val="en-US" w:eastAsia="ja-JP"/>
              </w:rPr>
            </w:pPr>
            <w:r w:rsidRPr="007813A1">
              <w:rPr>
                <w:rFonts w:cs="Arial"/>
                <w:color w:val="000000" w:themeColor="text1"/>
                <w:szCs w:val="18"/>
                <w:lang w:val="en-US" w:eastAsia="ja-JP"/>
              </w:rPr>
              <w:t xml:space="preserve">53. </w:t>
            </w:r>
            <w:proofErr w:type="spellStart"/>
            <w:r w:rsidRPr="007813A1">
              <w:rPr>
                <w:rFonts w:cs="Arial"/>
                <w:color w:val="000000" w:themeColor="text1"/>
                <w:szCs w:val="18"/>
                <w:lang w:val="en-US" w:eastAsia="ja-JP"/>
              </w:rPr>
              <w:t>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523D" w14:textId="27D5D7C4" w:rsidR="007813A1" w:rsidRPr="008F2542" w:rsidRDefault="007813A1" w:rsidP="002E3BF0">
            <w:pPr>
              <w:pStyle w:val="TAL"/>
              <w:rPr>
                <w:rFonts w:eastAsia="MS Mincho" w:cs="Arial"/>
                <w:color w:val="000000" w:themeColor="text1"/>
                <w:szCs w:val="18"/>
                <w:lang w:val="en-US" w:eastAsia="ja-JP"/>
              </w:rPr>
            </w:pPr>
            <w:r w:rsidRPr="007813A1">
              <w:rPr>
                <w:rFonts w:eastAsia="MS Mincho" w:cs="Arial"/>
                <w:color w:val="000000" w:themeColor="text1"/>
                <w:szCs w:val="18"/>
                <w:lang w:eastAsia="ja-JP"/>
              </w:rPr>
              <w:t>53-</w:t>
            </w:r>
            <w:r w:rsidR="008F2542">
              <w:rPr>
                <w:rFonts w:eastAsia="MS Mincho" w:cs="Arial"/>
                <w:color w:val="000000" w:themeColor="text1"/>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BA36" w14:textId="23A2E875" w:rsidR="007813A1" w:rsidRPr="007813A1" w:rsidRDefault="008F2542" w:rsidP="002E3BF0">
            <w:pPr>
              <w:pStyle w:val="TAL"/>
              <w:rPr>
                <w:rFonts w:cs="Arial"/>
                <w:color w:val="000000" w:themeColor="text1"/>
                <w:szCs w:val="18"/>
                <w:lang w:eastAsia="zh-CN"/>
              </w:rPr>
            </w:pPr>
            <w:r w:rsidRPr="00C80CE3">
              <w:rPr>
                <w:color w:val="000000"/>
              </w:rPr>
              <w:t>BM/RLM/BFD</w:t>
            </w:r>
            <w:r>
              <w:rPr>
                <w:color w:val="000000"/>
                <w:lang w:val="en-US"/>
              </w:rPr>
              <w:t xml:space="preserve"> performed on CD-SSB </w:t>
            </w:r>
            <w:r w:rsidR="00CD43D6">
              <w:rPr>
                <w:color w:val="000000"/>
                <w:lang w:val="en-US"/>
              </w:rPr>
              <w:t xml:space="preserve">without MG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9178" w14:textId="06A5AA72" w:rsidR="007813A1" w:rsidRPr="007813A1" w:rsidRDefault="00EC57BB" w:rsidP="002E3BF0">
            <w:pPr>
              <w:rPr>
                <w:rFonts w:ascii="Arial" w:hAnsi="Arial" w:cs="Arial"/>
                <w:color w:val="000000" w:themeColor="text1"/>
                <w:sz w:val="18"/>
                <w:szCs w:val="18"/>
              </w:rPr>
            </w:pPr>
            <w:r>
              <w:rPr>
                <w:rFonts w:ascii="Arial" w:hAnsi="Arial" w:cs="Arial"/>
                <w:color w:val="000000" w:themeColor="text1"/>
                <w:sz w:val="18"/>
                <w:szCs w:val="18"/>
              </w:rPr>
              <w:t>Support of BM/RLM/BFD performed on CD-SSB without measurement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C78FD" w14:textId="1450111D" w:rsidR="007813A1" w:rsidRPr="00EC57BB" w:rsidRDefault="00EC57BB" w:rsidP="002E3BF0">
            <w:pPr>
              <w:pStyle w:val="TAL"/>
              <w:rPr>
                <w:rFonts w:eastAsia="MS Mincho" w:cs="Arial"/>
                <w:color w:val="000000" w:themeColor="text1"/>
                <w:szCs w:val="18"/>
                <w:lang w:val="en-US" w:eastAsia="ja-JP"/>
              </w:rPr>
            </w:pPr>
            <w:r>
              <w:rPr>
                <w:rFonts w:eastAsia="MS Mincho" w:cs="Arial"/>
                <w:color w:val="000000" w:themeColor="text1"/>
                <w:szCs w:val="18"/>
                <w:lang w:val="en-US" w:eastAsia="ja-JP"/>
              </w:rPr>
              <w:t>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E4A" w14:textId="279C6767" w:rsidR="007813A1" w:rsidRPr="008F2542" w:rsidRDefault="008F2542" w:rsidP="002E3BF0">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ACD" w14:textId="5BAAFAF4" w:rsidR="007813A1" w:rsidRPr="00EC57BB" w:rsidRDefault="007813A1" w:rsidP="002E3BF0">
            <w:pPr>
              <w:pStyle w:val="TAL"/>
              <w:rPr>
                <w:rFonts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0639" w14:textId="05756ED6" w:rsidR="007813A1" w:rsidRPr="00EC57BB" w:rsidRDefault="00EC57BB" w:rsidP="002E3BF0">
            <w:pPr>
              <w:pStyle w:val="TAL"/>
              <w:rPr>
                <w:rFonts w:cs="Arial"/>
                <w:color w:val="000000" w:themeColor="text1"/>
                <w:szCs w:val="18"/>
                <w:lang w:val="en-US" w:eastAsia="zh-CN"/>
              </w:rPr>
            </w:pPr>
            <w:r>
              <w:rPr>
                <w:rFonts w:cs="Arial"/>
                <w:color w:val="000000" w:themeColor="text1"/>
                <w:szCs w:val="18"/>
              </w:rPr>
              <w:t xml:space="preserve">BM/RLM/BFD performed on CD-SSB </w:t>
            </w:r>
            <w:r>
              <w:rPr>
                <w:rFonts w:cs="Arial"/>
                <w:color w:val="000000" w:themeColor="text1"/>
                <w:szCs w:val="18"/>
                <w:lang w:val="en-US"/>
              </w:rPr>
              <w:t>outside active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73D4" w14:textId="3DC747C7" w:rsidR="007813A1" w:rsidRPr="008F2542" w:rsidRDefault="008F2542" w:rsidP="002E3BF0">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4B8E" w14:textId="65F599EE" w:rsidR="007813A1" w:rsidRPr="008F2542" w:rsidRDefault="008F2542" w:rsidP="002E3BF0">
            <w:pPr>
              <w:pStyle w:val="TAL"/>
              <w:rPr>
                <w:rFonts w:cs="Arial"/>
                <w:color w:val="000000" w:themeColor="text1"/>
                <w:szCs w:val="18"/>
                <w:lang w:val="en-US" w:eastAsia="ja-JP"/>
              </w:rPr>
            </w:pPr>
            <w:r>
              <w:rPr>
                <w:rFonts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61A0" w14:textId="4E1CF38F" w:rsidR="007813A1" w:rsidRPr="007813A1" w:rsidRDefault="008F2542" w:rsidP="002E3BF0">
            <w:pPr>
              <w:pStyle w:val="TAL"/>
              <w:rPr>
                <w:rFonts w:cs="Arial"/>
                <w:color w:val="000000" w:themeColor="text1"/>
                <w:szCs w:val="18"/>
                <w:lang w:eastAsia="ja-JP"/>
              </w:rPr>
            </w:pPr>
            <w:r>
              <w:rPr>
                <w:rFonts w:cs="Arial"/>
                <w:color w:val="000000" w:themeColor="text1"/>
                <w:szCs w:val="18"/>
                <w:lang w:val="en-US" w:eastAsia="ja-JP"/>
              </w:rPr>
              <w:t>NA</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2A00533" w14:textId="08B7840C" w:rsidR="007813A1" w:rsidRPr="007813A1" w:rsidRDefault="008F2542" w:rsidP="002E3BF0">
            <w:pPr>
              <w:pStyle w:val="TAL"/>
              <w:rPr>
                <w:rFonts w:cs="Arial"/>
                <w:color w:val="000000" w:themeColor="text1"/>
                <w:szCs w:val="18"/>
                <w:lang w:eastAsia="ja-JP"/>
              </w:rPr>
            </w:pPr>
            <w:r>
              <w:rPr>
                <w:rFonts w:cs="Arial"/>
                <w:color w:val="000000" w:themeColor="text1"/>
                <w:szCs w:val="18"/>
                <w:lang w:val="en-US" w:eastAsia="ja-JP"/>
              </w:rPr>
              <w:t>NA</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A6B2005" w14:textId="77777777" w:rsidR="007813A1" w:rsidRDefault="008F2542" w:rsidP="002E3BF0">
            <w:pPr>
              <w:pStyle w:val="TAL"/>
              <w:rPr>
                <w:rFonts w:cs="Arial"/>
                <w:color w:val="000000" w:themeColor="text1"/>
                <w:szCs w:val="18"/>
                <w:lang w:val="en-US"/>
              </w:rPr>
            </w:pPr>
            <w:r>
              <w:rPr>
                <w:rFonts w:cs="Arial"/>
                <w:color w:val="000000" w:themeColor="text1"/>
                <w:szCs w:val="18"/>
                <w:lang w:val="en-US"/>
              </w:rPr>
              <w:t>B-1-1</w:t>
            </w:r>
            <w:r w:rsidR="00CD43D6">
              <w:rPr>
                <w:rFonts w:cs="Arial"/>
                <w:color w:val="000000" w:themeColor="text1"/>
                <w:szCs w:val="18"/>
                <w:lang w:val="en-US"/>
              </w:rPr>
              <w:t>, B-1-2</w:t>
            </w:r>
          </w:p>
          <w:p w14:paraId="5FF459B4" w14:textId="6E706FC0" w:rsidR="00CD43D6" w:rsidRPr="008F2542" w:rsidRDefault="00CD43D6" w:rsidP="002E3BF0">
            <w:pPr>
              <w:pStyle w:val="TAL"/>
              <w:rPr>
                <w:rFonts w:cs="Arial"/>
                <w:color w:val="000000" w:themeColor="text1"/>
                <w:szCs w:val="18"/>
                <w:lang w:val="en-US"/>
              </w:rPr>
            </w:pPr>
            <w:r>
              <w:rPr>
                <w:rFonts w:cs="Arial"/>
                <w:color w:val="000000" w:themeColor="text1"/>
                <w:szCs w:val="18"/>
                <w:lang w:val="en-US"/>
              </w:rPr>
              <w:t>Candidate values: {‘with interrupt’ ,’without interrupt’}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48F9" w14:textId="64645074" w:rsidR="007813A1" w:rsidRPr="008F2542" w:rsidRDefault="008F2542" w:rsidP="002E3BF0">
            <w:pPr>
              <w:pStyle w:val="TAL"/>
              <w:rPr>
                <w:rFonts w:cs="Arial"/>
                <w:color w:val="000000" w:themeColor="text1"/>
                <w:szCs w:val="18"/>
                <w:lang w:val="en-US" w:eastAsia="ja-JP"/>
              </w:rPr>
            </w:pPr>
            <w:r>
              <w:rPr>
                <w:rFonts w:cs="Arial"/>
                <w:color w:val="000000" w:themeColor="text1"/>
                <w:szCs w:val="18"/>
                <w:lang w:val="en-US" w:eastAsia="ja-JP"/>
              </w:rPr>
              <w:t>Optional</w:t>
            </w:r>
          </w:p>
        </w:tc>
      </w:tr>
      <w:tr w:rsidR="00EC57BB" w:rsidRPr="007813A1" w14:paraId="455ADCF1"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A7619" w14:textId="77777777" w:rsidR="007813A1" w:rsidRPr="007813A1" w:rsidRDefault="007813A1" w:rsidP="002E3BF0">
            <w:pPr>
              <w:pStyle w:val="TAL"/>
              <w:rPr>
                <w:rFonts w:cs="Arial"/>
                <w:color w:val="000000" w:themeColor="text1"/>
                <w:szCs w:val="18"/>
                <w:lang w:val="nl-NL" w:eastAsia="ja-JP"/>
              </w:rPr>
            </w:pPr>
            <w:r w:rsidRPr="007813A1">
              <w:rPr>
                <w:rFonts w:cs="Arial"/>
                <w:color w:val="000000" w:themeColor="text1"/>
                <w:szCs w:val="18"/>
                <w:lang w:val="en-US" w:eastAsia="ja-JP"/>
              </w:rPr>
              <w:t xml:space="preserve">53. </w:t>
            </w:r>
            <w:proofErr w:type="spellStart"/>
            <w:r w:rsidRPr="007813A1">
              <w:rPr>
                <w:rFonts w:cs="Arial"/>
                <w:color w:val="000000" w:themeColor="text1"/>
                <w:szCs w:val="18"/>
                <w:lang w:val="en-US" w:eastAsia="ja-JP"/>
              </w:rPr>
              <w:t>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70A1" w14:textId="3389F5D2" w:rsidR="007813A1" w:rsidRPr="008F2542" w:rsidRDefault="007813A1" w:rsidP="002E3BF0">
            <w:pPr>
              <w:pStyle w:val="TAL"/>
              <w:rPr>
                <w:rFonts w:cs="Arial"/>
                <w:color w:val="000000" w:themeColor="text1"/>
                <w:szCs w:val="18"/>
                <w:lang w:val="en-US" w:eastAsia="ja-JP"/>
              </w:rPr>
            </w:pPr>
            <w:r w:rsidRPr="007813A1">
              <w:rPr>
                <w:rFonts w:eastAsia="MS Mincho" w:cs="Arial"/>
                <w:color w:val="000000" w:themeColor="text1"/>
                <w:szCs w:val="18"/>
                <w:lang w:eastAsia="ja-JP"/>
              </w:rPr>
              <w:t>53-</w:t>
            </w:r>
            <w:r w:rsidR="00CD43D6">
              <w:rPr>
                <w:rFonts w:eastAsia="MS Mincho"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A9846" w14:textId="467A9601" w:rsidR="007813A1" w:rsidRPr="008F2542" w:rsidRDefault="008F2542" w:rsidP="002E3BF0">
            <w:pPr>
              <w:pStyle w:val="TAL"/>
              <w:rPr>
                <w:rFonts w:cs="Arial"/>
                <w:color w:val="000000" w:themeColor="text1"/>
                <w:szCs w:val="18"/>
                <w:lang w:val="en-US" w:eastAsia="zh-CN"/>
              </w:rPr>
            </w:pPr>
            <w:r w:rsidRPr="00C80CE3">
              <w:rPr>
                <w:color w:val="000000"/>
              </w:rPr>
              <w:t>BM/RLM/BFD</w:t>
            </w:r>
            <w:r>
              <w:rPr>
                <w:color w:val="000000"/>
                <w:lang w:val="en-US"/>
              </w:rPr>
              <w:t xml:space="preserve"> performed on NCD-SSB inside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695A" w14:textId="0013A712" w:rsidR="007813A1" w:rsidRPr="007813A1" w:rsidRDefault="00EC57BB" w:rsidP="002E3BF0">
            <w:pPr>
              <w:rPr>
                <w:rFonts w:ascii="Arial" w:hAnsi="Arial" w:cs="Arial"/>
                <w:color w:val="000000" w:themeColor="text1"/>
                <w:sz w:val="18"/>
                <w:szCs w:val="18"/>
              </w:rPr>
            </w:pPr>
            <w:r>
              <w:rPr>
                <w:rFonts w:ascii="Arial" w:hAnsi="Arial" w:cs="Arial"/>
                <w:color w:val="000000" w:themeColor="text1"/>
                <w:sz w:val="18"/>
                <w:szCs w:val="18"/>
              </w:rPr>
              <w:t xml:space="preserve">Support of BM/RLM/BFD performed on NCD-SSB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9D2E" w14:textId="6BC8C1E2" w:rsidR="007813A1" w:rsidRPr="007813A1" w:rsidRDefault="00EC57BB" w:rsidP="002E3BF0">
            <w:pPr>
              <w:pStyle w:val="TAL"/>
              <w:rPr>
                <w:rFonts w:eastAsia="MS Mincho" w:cs="Arial"/>
                <w:color w:val="000000" w:themeColor="text1"/>
                <w:szCs w:val="18"/>
                <w:lang w:eastAsia="ja-JP"/>
              </w:rPr>
            </w:pPr>
            <w:r>
              <w:rPr>
                <w:rFonts w:eastAsia="MS Mincho" w:cs="Arial"/>
                <w:color w:val="000000" w:themeColor="text1"/>
                <w:szCs w:val="18"/>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AE60" w14:textId="405BFA36" w:rsidR="007813A1" w:rsidRPr="007813A1" w:rsidRDefault="008F2542" w:rsidP="002E3BF0">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6958" w14:textId="77777777" w:rsidR="007813A1" w:rsidRPr="007813A1" w:rsidRDefault="007813A1" w:rsidP="002E3BF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5851" w14:textId="5835A289" w:rsidR="007813A1" w:rsidRPr="007813A1" w:rsidRDefault="00EC57BB" w:rsidP="002E3BF0">
            <w:pPr>
              <w:pStyle w:val="TAL"/>
              <w:rPr>
                <w:rFonts w:cs="Arial"/>
                <w:color w:val="000000" w:themeColor="text1"/>
                <w:szCs w:val="18"/>
                <w:lang w:val="en-US" w:eastAsia="zh-CN"/>
              </w:rPr>
            </w:pPr>
            <w:r>
              <w:rPr>
                <w:rFonts w:cs="Arial"/>
                <w:color w:val="000000" w:themeColor="text1"/>
                <w:szCs w:val="18"/>
              </w:rPr>
              <w:t xml:space="preserve">BM/RLM/BFD performed on </w:t>
            </w:r>
            <w:r>
              <w:rPr>
                <w:rFonts w:cs="Arial"/>
                <w:color w:val="000000" w:themeColor="text1"/>
                <w:szCs w:val="18"/>
                <w:lang w:val="en-US"/>
              </w:rPr>
              <w:t>N</w:t>
            </w:r>
            <w:r>
              <w:rPr>
                <w:rFonts w:cs="Arial"/>
                <w:color w:val="000000" w:themeColor="text1"/>
                <w:szCs w:val="18"/>
              </w:rPr>
              <w:t xml:space="preserve">CD-SSB </w:t>
            </w:r>
            <w:r>
              <w:rPr>
                <w:rFonts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D054E" w14:textId="04695296" w:rsidR="007813A1" w:rsidRPr="007813A1" w:rsidRDefault="008F2542" w:rsidP="002E3BF0">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27B4" w14:textId="1440090A" w:rsidR="007813A1" w:rsidRPr="007813A1" w:rsidRDefault="008F2542" w:rsidP="002E3BF0">
            <w:pPr>
              <w:pStyle w:val="TAL"/>
              <w:rPr>
                <w:rFonts w:cs="Arial"/>
                <w:color w:val="000000" w:themeColor="text1"/>
                <w:szCs w:val="18"/>
                <w:lang w:eastAsia="ja-JP"/>
              </w:rPr>
            </w:pPr>
            <w:r>
              <w:rPr>
                <w:rFonts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D7DF" w14:textId="0F7DE1AD" w:rsidR="007813A1" w:rsidRPr="007813A1" w:rsidRDefault="008F2542" w:rsidP="002E3BF0">
            <w:pPr>
              <w:pStyle w:val="TAL"/>
              <w:rPr>
                <w:rFonts w:cs="Arial"/>
                <w:color w:val="000000" w:themeColor="text1"/>
                <w:szCs w:val="18"/>
                <w:lang w:eastAsia="ja-JP"/>
              </w:rPr>
            </w:pPr>
            <w:r>
              <w:rPr>
                <w:rFonts w:cs="Arial"/>
                <w:color w:val="000000" w:themeColor="text1"/>
                <w:szCs w:val="18"/>
                <w:lang w:val="en-US" w:eastAsia="ja-JP"/>
              </w:rPr>
              <w:t>NA</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BF23152" w14:textId="65295DAE" w:rsidR="007813A1" w:rsidRPr="007813A1" w:rsidRDefault="008F2542" w:rsidP="002E3BF0">
            <w:pPr>
              <w:pStyle w:val="TAL"/>
              <w:rPr>
                <w:rFonts w:cs="Arial"/>
                <w:color w:val="000000" w:themeColor="text1"/>
                <w:szCs w:val="18"/>
                <w:lang w:eastAsia="ja-JP"/>
              </w:rPr>
            </w:pPr>
            <w:r>
              <w:rPr>
                <w:rFonts w:cs="Arial"/>
                <w:color w:val="000000" w:themeColor="text1"/>
                <w:szCs w:val="18"/>
                <w:lang w:val="en-US" w:eastAsia="ja-JP"/>
              </w:rPr>
              <w:t>NA</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055AF02F" w14:textId="674036CD" w:rsidR="007813A1" w:rsidRPr="007813A1" w:rsidRDefault="008F2542" w:rsidP="002E3BF0">
            <w:pPr>
              <w:pStyle w:val="TAL"/>
              <w:rPr>
                <w:rFonts w:cs="Arial"/>
                <w:color w:val="000000" w:themeColor="text1"/>
                <w:szCs w:val="18"/>
              </w:rPr>
            </w:pPr>
            <w:r>
              <w:rPr>
                <w:rFonts w:cs="Arial"/>
                <w:color w:val="000000" w:themeColor="text1"/>
                <w:szCs w:val="18"/>
                <w:lang w:val="en-US"/>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CE2F1" w14:textId="79F52E94" w:rsidR="007813A1" w:rsidRPr="007813A1" w:rsidRDefault="008F2542" w:rsidP="002E3BF0">
            <w:pPr>
              <w:pStyle w:val="TAL"/>
              <w:rPr>
                <w:rFonts w:cs="Arial"/>
                <w:color w:val="000000" w:themeColor="text1"/>
                <w:szCs w:val="18"/>
                <w:lang w:eastAsia="ja-JP"/>
              </w:rPr>
            </w:pPr>
            <w:r>
              <w:rPr>
                <w:rFonts w:cs="Arial"/>
                <w:color w:val="000000" w:themeColor="text1"/>
                <w:szCs w:val="18"/>
                <w:lang w:val="en-US" w:eastAsia="ja-JP"/>
              </w:rPr>
              <w:t>Optional</w:t>
            </w:r>
          </w:p>
        </w:tc>
      </w:tr>
    </w:tbl>
    <w:p w14:paraId="1262A0A9" w14:textId="77777777" w:rsidR="007813A1" w:rsidRDefault="007813A1" w:rsidP="00EC57BB">
      <w:pPr>
        <w:overflowPunct/>
        <w:autoSpaceDE/>
        <w:autoSpaceDN/>
        <w:adjustRightInd/>
        <w:spacing w:after="0"/>
        <w:textAlignment w:val="auto"/>
        <w:rPr>
          <w:rFonts w:ascii="Arial" w:hAnsi="Arial"/>
          <w:sz w:val="32"/>
        </w:rPr>
      </w:pPr>
    </w:p>
    <w:p w14:paraId="5A01A6FD" w14:textId="279175D8" w:rsidR="00A0038A" w:rsidRPr="00EC57BB" w:rsidRDefault="00A0038A" w:rsidP="00EC57BB">
      <w:pPr>
        <w:overflowPunct/>
        <w:autoSpaceDE/>
        <w:autoSpaceDN/>
        <w:adjustRightInd/>
        <w:spacing w:after="0"/>
        <w:textAlignment w:val="auto"/>
        <w:rPr>
          <w:rFonts w:ascii="Arial" w:hAnsi="Arial"/>
          <w:sz w:val="32"/>
        </w:rPr>
        <w:sectPr w:rsidR="00A0038A" w:rsidRPr="00EC57BB" w:rsidSect="007813A1">
          <w:footnotePr>
            <w:numRestart w:val="eachSect"/>
          </w:footnotePr>
          <w:pgSz w:w="23814" w:h="16840" w:code="9"/>
          <w:pgMar w:top="1134" w:right="851" w:bottom="1134" w:left="567" w:header="680" w:footer="567" w:gutter="0"/>
          <w:cols w:space="720"/>
          <w:docGrid w:linePitch="272"/>
        </w:sectPr>
      </w:pPr>
    </w:p>
    <w:p w14:paraId="5CB0A04E" w14:textId="6131751B" w:rsidR="006E1C82" w:rsidRPr="00EC57BB" w:rsidRDefault="00C01F33" w:rsidP="00EC57BB">
      <w:pPr>
        <w:pStyle w:val="Heading1"/>
        <w:ind w:left="0" w:firstLine="0"/>
      </w:pPr>
      <w:r w:rsidRPr="00CE0424">
        <w:lastRenderedPageBreak/>
        <w:t>Conclusion</w:t>
      </w:r>
    </w:p>
    <w:p w14:paraId="7F02C213" w14:textId="1E5F1DF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1530CF" w14:textId="62D4A311" w:rsidR="00EC57BB" w:rsidRDefault="006E1C82">
      <w:pPr>
        <w:pStyle w:val="TableofFigures"/>
        <w:tabs>
          <w:tab w:val="right" w:leader="dot" w:pos="9628"/>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432842" w:history="1">
        <w:r w:rsidR="00EC57BB" w:rsidRPr="004B3243">
          <w:rPr>
            <w:rStyle w:val="Hyperlink"/>
            <w:noProof/>
          </w:rPr>
          <w:t>Proposal 1</w:t>
        </w:r>
        <w:r w:rsidR="00EC57BB">
          <w:rPr>
            <w:rFonts w:asciiTheme="minorHAnsi" w:eastAsiaTheme="minorEastAsia" w:hAnsiTheme="minorHAnsi" w:cstheme="minorBidi"/>
            <w:b w:val="0"/>
            <w:noProof/>
            <w:sz w:val="22"/>
            <w:szCs w:val="22"/>
            <w:lang w:val="en-SE" w:eastAsia="en-SE"/>
          </w:rPr>
          <w:tab/>
        </w:r>
        <w:r w:rsidR="00EC57BB" w:rsidRPr="004B3243">
          <w:rPr>
            <w:rStyle w:val="Hyperlink"/>
            <w:noProof/>
          </w:rPr>
          <w:t>Capture the UE capabilities for BWP without restriction provided in Table 1.</w:t>
        </w:r>
      </w:hyperlink>
    </w:p>
    <w:p w14:paraId="0596EFFD" w14:textId="3FFE6CB6" w:rsidR="00C01F33" w:rsidRPr="00D44FB3" w:rsidRDefault="006E1C82" w:rsidP="00D44FB3">
      <w:pPr>
        <w:pStyle w:val="BodyText"/>
        <w:rPr>
          <w:b/>
          <w:bCs/>
        </w:rPr>
      </w:pPr>
      <w:r>
        <w:rPr>
          <w:b/>
          <w:bCs/>
          <w:lang w:val="en-US"/>
        </w:rPr>
        <w:fldChar w:fldCharType="end"/>
      </w:r>
    </w:p>
    <w:p w14:paraId="38D74B0D" w14:textId="0025A802" w:rsidR="00DC643D" w:rsidRDefault="00F507D1" w:rsidP="00FF37F1">
      <w:pPr>
        <w:pStyle w:val="Heading1"/>
      </w:pPr>
      <w:bookmarkStart w:id="3" w:name="_In-sequence_SDU_delivery"/>
      <w:bookmarkEnd w:id="3"/>
      <w:r w:rsidRPr="00CE0424">
        <w:t>References</w:t>
      </w:r>
      <w:bookmarkStart w:id="4" w:name="_Ref174151459"/>
      <w:bookmarkStart w:id="5" w:name="_Ref189809556"/>
    </w:p>
    <w:p w14:paraId="59667839" w14:textId="39FD5C00" w:rsidR="00C018EB" w:rsidRDefault="00C018EB" w:rsidP="007F5AB8">
      <w:pPr>
        <w:pStyle w:val="Reference"/>
      </w:pPr>
      <w:bookmarkStart w:id="6" w:name="_Ref131174580"/>
      <w:bookmarkStart w:id="7" w:name="_Ref92208577"/>
      <w:r w:rsidRPr="00C018EB">
        <w:t>RP-230805</w:t>
      </w:r>
      <w:r>
        <w:t xml:space="preserve">, </w:t>
      </w:r>
      <w:r w:rsidRPr="00C018EB">
        <w:t xml:space="preserve">New WID: Complete the specification support for </w:t>
      </w:r>
      <w:proofErr w:type="spellStart"/>
      <w:r w:rsidRPr="00C018EB">
        <w:t>BandWidth</w:t>
      </w:r>
      <w:proofErr w:type="spellEnd"/>
      <w:r w:rsidRPr="00C018EB">
        <w:t xml:space="preserve"> Part operation without restriction in NR</w:t>
      </w:r>
      <w:r>
        <w:t xml:space="preserve">, </w:t>
      </w:r>
      <w:r w:rsidR="008F2542">
        <w:t>Voda</w:t>
      </w:r>
      <w:r w:rsidR="003A50EA">
        <w:t>f</w:t>
      </w:r>
      <w:r w:rsidR="008F2542">
        <w:t>one</w:t>
      </w:r>
      <w:r>
        <w:t>, RAN#99, Rotterdam, March 2023</w:t>
      </w:r>
      <w:bookmarkEnd w:id="6"/>
    </w:p>
    <w:p w14:paraId="02E8AE4C" w14:textId="60DF552F" w:rsidR="00AB2C12" w:rsidRPr="00FF37F1" w:rsidRDefault="004352C0" w:rsidP="004352C0">
      <w:pPr>
        <w:pStyle w:val="Reference"/>
      </w:pPr>
      <w:bookmarkStart w:id="8" w:name="_Ref131433622"/>
      <w:bookmarkEnd w:id="7"/>
      <w:bookmarkEnd w:id="4"/>
      <w:bookmarkEnd w:id="5"/>
      <w:r w:rsidRPr="004352C0">
        <w:t>RP-230766, Summary of offline discussion about BWP without restriction, Vodafone</w:t>
      </w:r>
      <w:r w:rsidR="003A50EA">
        <w:t>, RAN#99, Rotterdam, March 2023</w:t>
      </w:r>
      <w:bookmarkEnd w:id="8"/>
    </w:p>
    <w:sectPr w:rsidR="00AB2C12" w:rsidRPr="00FF37F1"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18ED" w14:textId="77777777" w:rsidR="005B554D" w:rsidRDefault="005B554D">
      <w:r>
        <w:separator/>
      </w:r>
    </w:p>
  </w:endnote>
  <w:endnote w:type="continuationSeparator" w:id="0">
    <w:p w14:paraId="56C430C9" w14:textId="77777777" w:rsidR="005B554D" w:rsidRDefault="005B554D">
      <w:r>
        <w:continuationSeparator/>
      </w:r>
    </w:p>
  </w:endnote>
  <w:endnote w:type="continuationNotice" w:id="1">
    <w:p w14:paraId="23F0BC21" w14:textId="77777777" w:rsidR="005B554D" w:rsidRDefault="005B5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E0605" w14:textId="77777777" w:rsidR="005B554D" w:rsidRDefault="005B554D">
      <w:r>
        <w:separator/>
      </w:r>
    </w:p>
  </w:footnote>
  <w:footnote w:type="continuationSeparator" w:id="0">
    <w:p w14:paraId="0BA2D7C9" w14:textId="77777777" w:rsidR="005B554D" w:rsidRDefault="005B554D">
      <w:r>
        <w:continuationSeparator/>
      </w:r>
    </w:p>
  </w:footnote>
  <w:footnote w:type="continuationNotice" w:id="1">
    <w:p w14:paraId="1C725027" w14:textId="77777777" w:rsidR="005B554D" w:rsidRDefault="005B5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1"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0"/>
  </w:num>
  <w:num w:numId="2" w16cid:durableId="1066103646">
    <w:abstractNumId w:val="16"/>
  </w:num>
  <w:num w:numId="3" w16cid:durableId="2130738699">
    <w:abstractNumId w:val="0"/>
  </w:num>
  <w:num w:numId="4" w16cid:durableId="1755545520">
    <w:abstractNumId w:val="22"/>
  </w:num>
  <w:num w:numId="5" w16cid:durableId="770902607">
    <w:abstractNumId w:val="23"/>
  </w:num>
  <w:num w:numId="6" w16cid:durableId="265432570">
    <w:abstractNumId w:val="28"/>
  </w:num>
  <w:num w:numId="7" w16cid:durableId="1825052133">
    <w:abstractNumId w:val="7"/>
  </w:num>
  <w:num w:numId="8" w16cid:durableId="668753665">
    <w:abstractNumId w:val="9"/>
  </w:num>
  <w:num w:numId="9" w16cid:durableId="1250627108">
    <w:abstractNumId w:val="2"/>
  </w:num>
  <w:num w:numId="10" w16cid:durableId="1783105622">
    <w:abstractNumId w:val="34"/>
  </w:num>
  <w:num w:numId="11" w16cid:durableId="1811752298">
    <w:abstractNumId w:val="13"/>
  </w:num>
  <w:num w:numId="12" w16cid:durableId="909660311">
    <w:abstractNumId w:val="32"/>
  </w:num>
  <w:num w:numId="13" w16cid:durableId="416678112">
    <w:abstractNumId w:val="18"/>
  </w:num>
  <w:num w:numId="14" w16cid:durableId="325213478">
    <w:abstractNumId w:val="14"/>
  </w:num>
  <w:num w:numId="15" w16cid:durableId="1739598289">
    <w:abstractNumId w:val="4"/>
  </w:num>
  <w:num w:numId="16" w16cid:durableId="780104477">
    <w:abstractNumId w:val="8"/>
  </w:num>
  <w:num w:numId="17" w16cid:durableId="256212723">
    <w:abstractNumId w:val="27"/>
  </w:num>
  <w:num w:numId="18" w16cid:durableId="1063990989">
    <w:abstractNumId w:val="17"/>
  </w:num>
  <w:num w:numId="19" w16cid:durableId="649135000">
    <w:abstractNumId w:val="21"/>
  </w:num>
  <w:num w:numId="20" w16cid:durableId="971863276">
    <w:abstractNumId w:val="15"/>
  </w:num>
  <w:num w:numId="21" w16cid:durableId="265817956">
    <w:abstractNumId w:val="19"/>
  </w:num>
  <w:num w:numId="22" w16cid:durableId="1932813920">
    <w:abstractNumId w:val="29"/>
  </w:num>
  <w:num w:numId="23" w16cid:durableId="437331874">
    <w:abstractNumId w:val="33"/>
  </w:num>
  <w:num w:numId="24" w16cid:durableId="315186122">
    <w:abstractNumId w:val="11"/>
  </w:num>
  <w:num w:numId="25" w16cid:durableId="1615402352">
    <w:abstractNumId w:val="25"/>
  </w:num>
  <w:num w:numId="26" w16cid:durableId="998996055">
    <w:abstractNumId w:val="10"/>
  </w:num>
  <w:num w:numId="27" w16cid:durableId="833881857">
    <w:abstractNumId w:val="24"/>
  </w:num>
  <w:num w:numId="28" w16cid:durableId="56443574">
    <w:abstractNumId w:val="12"/>
  </w:num>
  <w:num w:numId="29" w16cid:durableId="358094005">
    <w:abstractNumId w:val="3"/>
  </w:num>
  <w:num w:numId="30" w16cid:durableId="2074498759">
    <w:abstractNumId w:val="31"/>
  </w:num>
  <w:num w:numId="31" w16cid:durableId="872692754">
    <w:abstractNumId w:val="1"/>
  </w:num>
  <w:num w:numId="32" w16cid:durableId="1649626304">
    <w:abstractNumId w:val="30"/>
  </w:num>
  <w:num w:numId="33" w16cid:durableId="82772222">
    <w:abstractNumId w:val="6"/>
  </w:num>
  <w:num w:numId="34" w16cid:durableId="1051198839">
    <w:abstractNumId w:val="26"/>
  </w:num>
  <w:num w:numId="35" w16cid:durableId="1558588319">
    <w:abstractNumId w:val="5"/>
  </w:num>
  <w:num w:numId="36" w16cid:durableId="100028570">
    <w:abstractNumId w:val="20"/>
  </w:num>
  <w:num w:numId="37" w16cid:durableId="596862356">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5D15"/>
    <w:rsid w:val="0001667E"/>
    <w:rsid w:val="00017A1B"/>
    <w:rsid w:val="00020BA3"/>
    <w:rsid w:val="000210F6"/>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70E4A"/>
    <w:rsid w:val="00077E5F"/>
    <w:rsid w:val="0008036A"/>
    <w:rsid w:val="00081AE6"/>
    <w:rsid w:val="00081DEE"/>
    <w:rsid w:val="00082D21"/>
    <w:rsid w:val="000840D2"/>
    <w:rsid w:val="000855EB"/>
    <w:rsid w:val="00085B52"/>
    <w:rsid w:val="00085DCD"/>
    <w:rsid w:val="000866F2"/>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E66"/>
    <w:rsid w:val="001219F5"/>
    <w:rsid w:val="00121A20"/>
    <w:rsid w:val="0012377F"/>
    <w:rsid w:val="00124314"/>
    <w:rsid w:val="00125027"/>
    <w:rsid w:val="00126B4A"/>
    <w:rsid w:val="00127004"/>
    <w:rsid w:val="0012713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51B5"/>
    <w:rsid w:val="0015542A"/>
    <w:rsid w:val="00157D01"/>
    <w:rsid w:val="001604E1"/>
    <w:rsid w:val="00163458"/>
    <w:rsid w:val="001641D4"/>
    <w:rsid w:val="001659C1"/>
    <w:rsid w:val="0016766F"/>
    <w:rsid w:val="00170B82"/>
    <w:rsid w:val="00172DE3"/>
    <w:rsid w:val="00172FBA"/>
    <w:rsid w:val="00173A8E"/>
    <w:rsid w:val="0017502C"/>
    <w:rsid w:val="00175DA8"/>
    <w:rsid w:val="0018143F"/>
    <w:rsid w:val="00181FF8"/>
    <w:rsid w:val="00182A96"/>
    <w:rsid w:val="00185B04"/>
    <w:rsid w:val="00190AC1"/>
    <w:rsid w:val="0019341A"/>
    <w:rsid w:val="00197DF9"/>
    <w:rsid w:val="001A02DE"/>
    <w:rsid w:val="001A1987"/>
    <w:rsid w:val="001A2564"/>
    <w:rsid w:val="001A6173"/>
    <w:rsid w:val="001A6CBA"/>
    <w:rsid w:val="001B0D97"/>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AED"/>
    <w:rsid w:val="001F1839"/>
    <w:rsid w:val="001F32CA"/>
    <w:rsid w:val="001F3916"/>
    <w:rsid w:val="001F54C5"/>
    <w:rsid w:val="001F5A01"/>
    <w:rsid w:val="001F6629"/>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5632"/>
    <w:rsid w:val="00235872"/>
    <w:rsid w:val="00236F37"/>
    <w:rsid w:val="00237769"/>
    <w:rsid w:val="00240B5B"/>
    <w:rsid w:val="00241559"/>
    <w:rsid w:val="002435B3"/>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A055E"/>
    <w:rsid w:val="002A0758"/>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FD6"/>
    <w:rsid w:val="003143BD"/>
    <w:rsid w:val="003144BE"/>
    <w:rsid w:val="00315363"/>
    <w:rsid w:val="003203ED"/>
    <w:rsid w:val="00322C9F"/>
    <w:rsid w:val="00324D23"/>
    <w:rsid w:val="00325D49"/>
    <w:rsid w:val="00330482"/>
    <w:rsid w:val="0033141A"/>
    <w:rsid w:val="00331751"/>
    <w:rsid w:val="00334579"/>
    <w:rsid w:val="00335858"/>
    <w:rsid w:val="00336BDA"/>
    <w:rsid w:val="00342A5C"/>
    <w:rsid w:val="00342BD7"/>
    <w:rsid w:val="00343154"/>
    <w:rsid w:val="003432BE"/>
    <w:rsid w:val="00345C09"/>
    <w:rsid w:val="00346DB5"/>
    <w:rsid w:val="003477B1"/>
    <w:rsid w:val="003508EE"/>
    <w:rsid w:val="00356578"/>
    <w:rsid w:val="00357163"/>
    <w:rsid w:val="00357380"/>
    <w:rsid w:val="003602D9"/>
    <w:rsid w:val="003604CE"/>
    <w:rsid w:val="0036481C"/>
    <w:rsid w:val="003657D4"/>
    <w:rsid w:val="00366407"/>
    <w:rsid w:val="00370E47"/>
    <w:rsid w:val="00371D92"/>
    <w:rsid w:val="00373B39"/>
    <w:rsid w:val="003742AC"/>
    <w:rsid w:val="00377CE1"/>
    <w:rsid w:val="0038498E"/>
    <w:rsid w:val="00385BF0"/>
    <w:rsid w:val="003910FC"/>
    <w:rsid w:val="003917C1"/>
    <w:rsid w:val="003939FF"/>
    <w:rsid w:val="00395873"/>
    <w:rsid w:val="0039776A"/>
    <w:rsid w:val="003A15E6"/>
    <w:rsid w:val="003A2223"/>
    <w:rsid w:val="003A2A0F"/>
    <w:rsid w:val="003A45A1"/>
    <w:rsid w:val="003A50E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11C8"/>
    <w:rsid w:val="003C1475"/>
    <w:rsid w:val="003C2702"/>
    <w:rsid w:val="003C40DF"/>
    <w:rsid w:val="003C6B28"/>
    <w:rsid w:val="003C6D1C"/>
    <w:rsid w:val="003C71EC"/>
    <w:rsid w:val="003C731D"/>
    <w:rsid w:val="003C7806"/>
    <w:rsid w:val="003C7BF7"/>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56B"/>
    <w:rsid w:val="00476597"/>
    <w:rsid w:val="00477768"/>
    <w:rsid w:val="004809E6"/>
    <w:rsid w:val="00490B6F"/>
    <w:rsid w:val="00492BC5"/>
    <w:rsid w:val="00492E80"/>
    <w:rsid w:val="00494B14"/>
    <w:rsid w:val="00495C59"/>
    <w:rsid w:val="004964F1"/>
    <w:rsid w:val="004A110D"/>
    <w:rsid w:val="004A16BC"/>
    <w:rsid w:val="004A1A0C"/>
    <w:rsid w:val="004A2B94"/>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9D0"/>
    <w:rsid w:val="00522D86"/>
    <w:rsid w:val="00522EEC"/>
    <w:rsid w:val="00523CBA"/>
    <w:rsid w:val="005249C6"/>
    <w:rsid w:val="005272ED"/>
    <w:rsid w:val="0053354B"/>
    <w:rsid w:val="00534B59"/>
    <w:rsid w:val="00535AFE"/>
    <w:rsid w:val="00536759"/>
    <w:rsid w:val="00537C62"/>
    <w:rsid w:val="00537F39"/>
    <w:rsid w:val="00543E7B"/>
    <w:rsid w:val="005450EF"/>
    <w:rsid w:val="005468C0"/>
    <w:rsid w:val="00546970"/>
    <w:rsid w:val="00547088"/>
    <w:rsid w:val="005470EB"/>
    <w:rsid w:val="005503F4"/>
    <w:rsid w:val="005536B8"/>
    <w:rsid w:val="00554CB7"/>
    <w:rsid w:val="00554E19"/>
    <w:rsid w:val="00556187"/>
    <w:rsid w:val="005569D6"/>
    <w:rsid w:val="0055729D"/>
    <w:rsid w:val="0056121F"/>
    <w:rsid w:val="00563732"/>
    <w:rsid w:val="00565E6D"/>
    <w:rsid w:val="00570366"/>
    <w:rsid w:val="00571D80"/>
    <w:rsid w:val="005723B9"/>
    <w:rsid w:val="00572505"/>
    <w:rsid w:val="0057586F"/>
    <w:rsid w:val="00575951"/>
    <w:rsid w:val="00575F93"/>
    <w:rsid w:val="00582809"/>
    <w:rsid w:val="005833CF"/>
    <w:rsid w:val="00585E44"/>
    <w:rsid w:val="00586070"/>
    <w:rsid w:val="0058798C"/>
    <w:rsid w:val="005900FA"/>
    <w:rsid w:val="00592F6A"/>
    <w:rsid w:val="00593353"/>
    <w:rsid w:val="005935A4"/>
    <w:rsid w:val="005948C2"/>
    <w:rsid w:val="00595DCA"/>
    <w:rsid w:val="0059678A"/>
    <w:rsid w:val="0059779B"/>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7263"/>
    <w:rsid w:val="005C74FB"/>
    <w:rsid w:val="005D1602"/>
    <w:rsid w:val="005D4B8E"/>
    <w:rsid w:val="005E0837"/>
    <w:rsid w:val="005E2D84"/>
    <w:rsid w:val="005E385F"/>
    <w:rsid w:val="005E5B81"/>
    <w:rsid w:val="005E6D34"/>
    <w:rsid w:val="005F2CB1"/>
    <w:rsid w:val="005F3025"/>
    <w:rsid w:val="005F5AEE"/>
    <w:rsid w:val="005F618C"/>
    <w:rsid w:val="005F6E68"/>
    <w:rsid w:val="005F70BD"/>
    <w:rsid w:val="005F7D5F"/>
    <w:rsid w:val="005F7FEA"/>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7EE7"/>
    <w:rsid w:val="0067035F"/>
    <w:rsid w:val="00670922"/>
    <w:rsid w:val="00670BE1"/>
    <w:rsid w:val="0067218F"/>
    <w:rsid w:val="006741F2"/>
    <w:rsid w:val="00674B29"/>
    <w:rsid w:val="00674BA7"/>
    <w:rsid w:val="00674CC3"/>
    <w:rsid w:val="0067517F"/>
    <w:rsid w:val="00675C72"/>
    <w:rsid w:val="006771F9"/>
    <w:rsid w:val="006776D7"/>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E28"/>
    <w:rsid w:val="006A62A1"/>
    <w:rsid w:val="006A697B"/>
    <w:rsid w:val="006A7AFF"/>
    <w:rsid w:val="006B1816"/>
    <w:rsid w:val="006B1FC6"/>
    <w:rsid w:val="006B2099"/>
    <w:rsid w:val="006B235B"/>
    <w:rsid w:val="006B2BFD"/>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6902"/>
    <w:rsid w:val="00721A3B"/>
    <w:rsid w:val="00721F93"/>
    <w:rsid w:val="0072347E"/>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F18"/>
    <w:rsid w:val="008859CD"/>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939"/>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3742"/>
    <w:rsid w:val="00943774"/>
    <w:rsid w:val="00943FB9"/>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1921"/>
    <w:rsid w:val="0096242A"/>
    <w:rsid w:val="0096430A"/>
    <w:rsid w:val="0096554B"/>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6363"/>
    <w:rsid w:val="009C71E2"/>
    <w:rsid w:val="009D4FF0"/>
    <w:rsid w:val="009D63B4"/>
    <w:rsid w:val="009D703C"/>
    <w:rsid w:val="009D718F"/>
    <w:rsid w:val="009E068F"/>
    <w:rsid w:val="009E11D5"/>
    <w:rsid w:val="009E14E0"/>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FA1"/>
    <w:rsid w:val="00A048A8"/>
    <w:rsid w:val="00A04F49"/>
    <w:rsid w:val="00A12FF4"/>
    <w:rsid w:val="00A13B2A"/>
    <w:rsid w:val="00A13E54"/>
    <w:rsid w:val="00A155E9"/>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51D6"/>
    <w:rsid w:val="00AA644E"/>
    <w:rsid w:val="00AB054A"/>
    <w:rsid w:val="00AB0BC8"/>
    <w:rsid w:val="00AB11CA"/>
    <w:rsid w:val="00AB14D9"/>
    <w:rsid w:val="00AB2C12"/>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D0AA3"/>
    <w:rsid w:val="00AD20A0"/>
    <w:rsid w:val="00AD2EC3"/>
    <w:rsid w:val="00AD2ED0"/>
    <w:rsid w:val="00AD3F94"/>
    <w:rsid w:val="00AD4A5A"/>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51E9"/>
    <w:rsid w:val="00BB5BC5"/>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406"/>
    <w:rsid w:val="00BE745A"/>
    <w:rsid w:val="00BE7603"/>
    <w:rsid w:val="00BF145A"/>
    <w:rsid w:val="00BF3279"/>
    <w:rsid w:val="00BF74C7"/>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A0"/>
    <w:rsid w:val="00CC65B4"/>
    <w:rsid w:val="00CC7B45"/>
    <w:rsid w:val="00CC7FD8"/>
    <w:rsid w:val="00CD1188"/>
    <w:rsid w:val="00CD2553"/>
    <w:rsid w:val="00CD2ED1"/>
    <w:rsid w:val="00CD337B"/>
    <w:rsid w:val="00CD4177"/>
    <w:rsid w:val="00CD43D6"/>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B33"/>
    <w:rsid w:val="00D4318F"/>
    <w:rsid w:val="00D438BF"/>
    <w:rsid w:val="00D440F8"/>
    <w:rsid w:val="00D44FB3"/>
    <w:rsid w:val="00D47D80"/>
    <w:rsid w:val="00D546FF"/>
    <w:rsid w:val="00D55AD5"/>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5B0"/>
    <w:rsid w:val="00E4450F"/>
    <w:rsid w:val="00E446F1"/>
    <w:rsid w:val="00E45ABE"/>
    <w:rsid w:val="00E46886"/>
    <w:rsid w:val="00E47AEF"/>
    <w:rsid w:val="00E53771"/>
    <w:rsid w:val="00E53B75"/>
    <w:rsid w:val="00E54E3B"/>
    <w:rsid w:val="00E57565"/>
    <w:rsid w:val="00E63838"/>
    <w:rsid w:val="00E64434"/>
    <w:rsid w:val="00E64D58"/>
    <w:rsid w:val="00E67162"/>
    <w:rsid w:val="00E67C51"/>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F845281"/>
  <w15:chartTrackingRefBased/>
  <w15:docId w15:val="{DC3DBEB1-5B5B-417D-AEDA-1083A456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77B456-4F31-44CB-8768-1933A1D6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3.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4.xml><?xml version="1.0" encoding="utf-8"?>
<ds:datastoreItem xmlns:ds="http://schemas.openxmlformats.org/officeDocument/2006/customXml" ds:itemID="{45D93C72-052F-4C31-BB9B-F2BB328FC4D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9640</TotalTime>
  <Pages>4</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3502</CharactersWithSpaces>
  <SharedDoc>false</SharedDoc>
  <HLinks>
    <vt:vector size="210" baseType="variant">
      <vt:variant>
        <vt:i4>1638452</vt:i4>
      </vt:variant>
      <vt:variant>
        <vt:i4>119</vt:i4>
      </vt:variant>
      <vt:variant>
        <vt:i4>0</vt:i4>
      </vt:variant>
      <vt:variant>
        <vt:i4>5</vt:i4>
      </vt:variant>
      <vt:variant>
        <vt:lpwstr/>
      </vt:variant>
      <vt:variant>
        <vt:lpwstr>_Toc101529623</vt:lpwstr>
      </vt:variant>
      <vt:variant>
        <vt:i4>1638452</vt:i4>
      </vt:variant>
      <vt:variant>
        <vt:i4>116</vt:i4>
      </vt:variant>
      <vt:variant>
        <vt:i4>0</vt:i4>
      </vt:variant>
      <vt:variant>
        <vt:i4>5</vt:i4>
      </vt:variant>
      <vt:variant>
        <vt:lpwstr/>
      </vt:variant>
      <vt:variant>
        <vt:lpwstr>_Toc101529622</vt:lpwstr>
      </vt:variant>
      <vt:variant>
        <vt:i4>1638452</vt:i4>
      </vt:variant>
      <vt:variant>
        <vt:i4>113</vt:i4>
      </vt:variant>
      <vt:variant>
        <vt:i4>0</vt:i4>
      </vt:variant>
      <vt:variant>
        <vt:i4>5</vt:i4>
      </vt:variant>
      <vt:variant>
        <vt:lpwstr/>
      </vt:variant>
      <vt:variant>
        <vt:lpwstr>_Toc101529621</vt:lpwstr>
      </vt:variant>
      <vt:variant>
        <vt:i4>1638452</vt:i4>
      </vt:variant>
      <vt:variant>
        <vt:i4>110</vt:i4>
      </vt:variant>
      <vt:variant>
        <vt:i4>0</vt:i4>
      </vt:variant>
      <vt:variant>
        <vt:i4>5</vt:i4>
      </vt:variant>
      <vt:variant>
        <vt:lpwstr/>
      </vt:variant>
      <vt:variant>
        <vt:lpwstr>_Toc101529620</vt:lpwstr>
      </vt:variant>
      <vt:variant>
        <vt:i4>1703988</vt:i4>
      </vt:variant>
      <vt:variant>
        <vt:i4>107</vt:i4>
      </vt:variant>
      <vt:variant>
        <vt:i4>0</vt:i4>
      </vt:variant>
      <vt:variant>
        <vt:i4>5</vt:i4>
      </vt:variant>
      <vt:variant>
        <vt:lpwstr/>
      </vt:variant>
      <vt:variant>
        <vt:lpwstr>_Toc101529619</vt:lpwstr>
      </vt:variant>
      <vt:variant>
        <vt:i4>1703988</vt:i4>
      </vt:variant>
      <vt:variant>
        <vt:i4>104</vt:i4>
      </vt:variant>
      <vt:variant>
        <vt:i4>0</vt:i4>
      </vt:variant>
      <vt:variant>
        <vt:i4>5</vt:i4>
      </vt:variant>
      <vt:variant>
        <vt:lpwstr/>
      </vt:variant>
      <vt:variant>
        <vt:lpwstr>_Toc101529618</vt:lpwstr>
      </vt:variant>
      <vt:variant>
        <vt:i4>1703988</vt:i4>
      </vt:variant>
      <vt:variant>
        <vt:i4>101</vt:i4>
      </vt:variant>
      <vt:variant>
        <vt:i4>0</vt:i4>
      </vt:variant>
      <vt:variant>
        <vt:i4>5</vt:i4>
      </vt:variant>
      <vt:variant>
        <vt:lpwstr/>
      </vt:variant>
      <vt:variant>
        <vt:lpwstr>_Toc101529617</vt:lpwstr>
      </vt:variant>
      <vt:variant>
        <vt:i4>1703988</vt:i4>
      </vt:variant>
      <vt:variant>
        <vt:i4>98</vt:i4>
      </vt:variant>
      <vt:variant>
        <vt:i4>0</vt:i4>
      </vt:variant>
      <vt:variant>
        <vt:i4>5</vt:i4>
      </vt:variant>
      <vt:variant>
        <vt:lpwstr/>
      </vt:variant>
      <vt:variant>
        <vt:lpwstr>_Toc101529616</vt:lpwstr>
      </vt:variant>
      <vt:variant>
        <vt:i4>1703988</vt:i4>
      </vt:variant>
      <vt:variant>
        <vt:i4>95</vt:i4>
      </vt:variant>
      <vt:variant>
        <vt:i4>0</vt:i4>
      </vt:variant>
      <vt:variant>
        <vt:i4>5</vt:i4>
      </vt:variant>
      <vt:variant>
        <vt:lpwstr/>
      </vt:variant>
      <vt:variant>
        <vt:lpwstr>_Toc101529615</vt:lpwstr>
      </vt:variant>
      <vt:variant>
        <vt:i4>1703988</vt:i4>
      </vt:variant>
      <vt:variant>
        <vt:i4>92</vt:i4>
      </vt:variant>
      <vt:variant>
        <vt:i4>0</vt:i4>
      </vt:variant>
      <vt:variant>
        <vt:i4>5</vt:i4>
      </vt:variant>
      <vt:variant>
        <vt:lpwstr/>
      </vt:variant>
      <vt:variant>
        <vt:lpwstr>_Toc101529614</vt:lpwstr>
      </vt:variant>
      <vt:variant>
        <vt:i4>1703988</vt:i4>
      </vt:variant>
      <vt:variant>
        <vt:i4>89</vt:i4>
      </vt:variant>
      <vt:variant>
        <vt:i4>0</vt:i4>
      </vt:variant>
      <vt:variant>
        <vt:i4>5</vt:i4>
      </vt:variant>
      <vt:variant>
        <vt:lpwstr/>
      </vt:variant>
      <vt:variant>
        <vt:lpwstr>_Toc101529613</vt:lpwstr>
      </vt:variant>
      <vt:variant>
        <vt:i4>1703988</vt:i4>
      </vt:variant>
      <vt:variant>
        <vt:i4>86</vt:i4>
      </vt:variant>
      <vt:variant>
        <vt:i4>0</vt:i4>
      </vt:variant>
      <vt:variant>
        <vt:i4>5</vt:i4>
      </vt:variant>
      <vt:variant>
        <vt:lpwstr/>
      </vt:variant>
      <vt:variant>
        <vt:lpwstr>_Toc101529612</vt:lpwstr>
      </vt:variant>
      <vt:variant>
        <vt:i4>1703988</vt:i4>
      </vt:variant>
      <vt:variant>
        <vt:i4>83</vt:i4>
      </vt:variant>
      <vt:variant>
        <vt:i4>0</vt:i4>
      </vt:variant>
      <vt:variant>
        <vt:i4>5</vt:i4>
      </vt:variant>
      <vt:variant>
        <vt:lpwstr/>
      </vt:variant>
      <vt:variant>
        <vt:lpwstr>_Toc101529611</vt:lpwstr>
      </vt:variant>
      <vt:variant>
        <vt:i4>1703988</vt:i4>
      </vt:variant>
      <vt:variant>
        <vt:i4>80</vt:i4>
      </vt:variant>
      <vt:variant>
        <vt:i4>0</vt:i4>
      </vt:variant>
      <vt:variant>
        <vt:i4>5</vt:i4>
      </vt:variant>
      <vt:variant>
        <vt:lpwstr/>
      </vt:variant>
      <vt:variant>
        <vt:lpwstr>_Toc101529610</vt:lpwstr>
      </vt:variant>
      <vt:variant>
        <vt:i4>1769524</vt:i4>
      </vt:variant>
      <vt:variant>
        <vt:i4>77</vt:i4>
      </vt:variant>
      <vt:variant>
        <vt:i4>0</vt:i4>
      </vt:variant>
      <vt:variant>
        <vt:i4>5</vt:i4>
      </vt:variant>
      <vt:variant>
        <vt:lpwstr/>
      </vt:variant>
      <vt:variant>
        <vt:lpwstr>_Toc101529609</vt:lpwstr>
      </vt:variant>
      <vt:variant>
        <vt:i4>1769524</vt:i4>
      </vt:variant>
      <vt:variant>
        <vt:i4>74</vt:i4>
      </vt:variant>
      <vt:variant>
        <vt:i4>0</vt:i4>
      </vt:variant>
      <vt:variant>
        <vt:i4>5</vt:i4>
      </vt:variant>
      <vt:variant>
        <vt:lpwstr/>
      </vt:variant>
      <vt:variant>
        <vt:lpwstr>_Toc101529608</vt:lpwstr>
      </vt:variant>
      <vt:variant>
        <vt:i4>1769524</vt:i4>
      </vt:variant>
      <vt:variant>
        <vt:i4>71</vt:i4>
      </vt:variant>
      <vt:variant>
        <vt:i4>0</vt:i4>
      </vt:variant>
      <vt:variant>
        <vt:i4>5</vt:i4>
      </vt:variant>
      <vt:variant>
        <vt:lpwstr/>
      </vt:variant>
      <vt:variant>
        <vt:lpwstr>_Toc101529607</vt:lpwstr>
      </vt:variant>
      <vt:variant>
        <vt:i4>1769524</vt:i4>
      </vt:variant>
      <vt:variant>
        <vt:i4>68</vt:i4>
      </vt:variant>
      <vt:variant>
        <vt:i4>0</vt:i4>
      </vt:variant>
      <vt:variant>
        <vt:i4>5</vt:i4>
      </vt:variant>
      <vt:variant>
        <vt:lpwstr/>
      </vt:variant>
      <vt:variant>
        <vt:lpwstr>_Toc101529606</vt:lpwstr>
      </vt:variant>
      <vt:variant>
        <vt:i4>1769524</vt:i4>
      </vt:variant>
      <vt:variant>
        <vt:i4>65</vt:i4>
      </vt:variant>
      <vt:variant>
        <vt:i4>0</vt:i4>
      </vt:variant>
      <vt:variant>
        <vt:i4>5</vt:i4>
      </vt:variant>
      <vt:variant>
        <vt:lpwstr/>
      </vt:variant>
      <vt:variant>
        <vt:lpwstr>_Toc101529605</vt:lpwstr>
      </vt:variant>
      <vt:variant>
        <vt:i4>1769524</vt:i4>
      </vt:variant>
      <vt:variant>
        <vt:i4>62</vt:i4>
      </vt:variant>
      <vt:variant>
        <vt:i4>0</vt:i4>
      </vt:variant>
      <vt:variant>
        <vt:i4>5</vt:i4>
      </vt:variant>
      <vt:variant>
        <vt:lpwstr/>
      </vt:variant>
      <vt:variant>
        <vt:lpwstr>_Toc101529604</vt:lpwstr>
      </vt:variant>
      <vt:variant>
        <vt:i4>1769524</vt:i4>
      </vt:variant>
      <vt:variant>
        <vt:i4>59</vt:i4>
      </vt:variant>
      <vt:variant>
        <vt:i4>0</vt:i4>
      </vt:variant>
      <vt:variant>
        <vt:i4>5</vt:i4>
      </vt:variant>
      <vt:variant>
        <vt:lpwstr/>
      </vt:variant>
      <vt:variant>
        <vt:lpwstr>_Toc101529603</vt:lpwstr>
      </vt:variant>
      <vt:variant>
        <vt:i4>1769524</vt:i4>
      </vt:variant>
      <vt:variant>
        <vt:i4>56</vt:i4>
      </vt:variant>
      <vt:variant>
        <vt:i4>0</vt:i4>
      </vt:variant>
      <vt:variant>
        <vt:i4>5</vt:i4>
      </vt:variant>
      <vt:variant>
        <vt:lpwstr/>
      </vt:variant>
      <vt:variant>
        <vt:lpwstr>_Toc101529602</vt:lpwstr>
      </vt:variant>
      <vt:variant>
        <vt:i4>1769524</vt:i4>
      </vt:variant>
      <vt:variant>
        <vt:i4>53</vt:i4>
      </vt:variant>
      <vt:variant>
        <vt:i4>0</vt:i4>
      </vt:variant>
      <vt:variant>
        <vt:i4>5</vt:i4>
      </vt:variant>
      <vt:variant>
        <vt:lpwstr/>
      </vt:variant>
      <vt:variant>
        <vt:lpwstr>_Toc101529601</vt:lpwstr>
      </vt:variant>
      <vt:variant>
        <vt:i4>1769524</vt:i4>
      </vt:variant>
      <vt:variant>
        <vt:i4>50</vt:i4>
      </vt:variant>
      <vt:variant>
        <vt:i4>0</vt:i4>
      </vt:variant>
      <vt:variant>
        <vt:i4>5</vt:i4>
      </vt:variant>
      <vt:variant>
        <vt:lpwstr/>
      </vt:variant>
      <vt:variant>
        <vt:lpwstr>_Toc101529600</vt:lpwstr>
      </vt:variant>
      <vt:variant>
        <vt:i4>1179703</vt:i4>
      </vt:variant>
      <vt:variant>
        <vt:i4>47</vt:i4>
      </vt:variant>
      <vt:variant>
        <vt:i4>0</vt:i4>
      </vt:variant>
      <vt:variant>
        <vt:i4>5</vt:i4>
      </vt:variant>
      <vt:variant>
        <vt:lpwstr/>
      </vt:variant>
      <vt:variant>
        <vt:lpwstr>_Toc101529599</vt:lpwstr>
      </vt:variant>
      <vt:variant>
        <vt:i4>1179703</vt:i4>
      </vt:variant>
      <vt:variant>
        <vt:i4>44</vt:i4>
      </vt:variant>
      <vt:variant>
        <vt:i4>0</vt:i4>
      </vt:variant>
      <vt:variant>
        <vt:i4>5</vt:i4>
      </vt:variant>
      <vt:variant>
        <vt:lpwstr/>
      </vt:variant>
      <vt:variant>
        <vt:lpwstr>_Toc101529598</vt:lpwstr>
      </vt:variant>
      <vt:variant>
        <vt:i4>1179703</vt:i4>
      </vt:variant>
      <vt:variant>
        <vt:i4>41</vt:i4>
      </vt:variant>
      <vt:variant>
        <vt:i4>0</vt:i4>
      </vt:variant>
      <vt:variant>
        <vt:i4>5</vt:i4>
      </vt:variant>
      <vt:variant>
        <vt:lpwstr/>
      </vt:variant>
      <vt:variant>
        <vt:lpwstr>_Toc101529597</vt:lpwstr>
      </vt:variant>
      <vt:variant>
        <vt:i4>1179703</vt:i4>
      </vt:variant>
      <vt:variant>
        <vt:i4>38</vt:i4>
      </vt:variant>
      <vt:variant>
        <vt:i4>0</vt:i4>
      </vt:variant>
      <vt:variant>
        <vt:i4>5</vt:i4>
      </vt:variant>
      <vt:variant>
        <vt:lpwstr/>
      </vt:variant>
      <vt:variant>
        <vt:lpwstr>_Toc101529596</vt:lpwstr>
      </vt:variant>
      <vt:variant>
        <vt:i4>1179703</vt:i4>
      </vt:variant>
      <vt:variant>
        <vt:i4>35</vt:i4>
      </vt:variant>
      <vt:variant>
        <vt:i4>0</vt:i4>
      </vt:variant>
      <vt:variant>
        <vt:i4>5</vt:i4>
      </vt:variant>
      <vt:variant>
        <vt:lpwstr/>
      </vt:variant>
      <vt:variant>
        <vt:lpwstr>_Toc101529595</vt:lpwstr>
      </vt:variant>
      <vt:variant>
        <vt:i4>1179703</vt:i4>
      </vt:variant>
      <vt:variant>
        <vt:i4>32</vt:i4>
      </vt:variant>
      <vt:variant>
        <vt:i4>0</vt:i4>
      </vt:variant>
      <vt:variant>
        <vt:i4>5</vt:i4>
      </vt:variant>
      <vt:variant>
        <vt:lpwstr/>
      </vt:variant>
      <vt:variant>
        <vt:lpwstr>_Toc101529594</vt:lpwstr>
      </vt:variant>
      <vt:variant>
        <vt:i4>1179703</vt:i4>
      </vt:variant>
      <vt:variant>
        <vt:i4>26</vt:i4>
      </vt:variant>
      <vt:variant>
        <vt:i4>0</vt:i4>
      </vt:variant>
      <vt:variant>
        <vt:i4>5</vt:i4>
      </vt:variant>
      <vt:variant>
        <vt:lpwstr/>
      </vt:variant>
      <vt:variant>
        <vt:lpwstr>_Toc101529593</vt:lpwstr>
      </vt:variant>
      <vt:variant>
        <vt:i4>1179703</vt:i4>
      </vt:variant>
      <vt:variant>
        <vt:i4>23</vt:i4>
      </vt:variant>
      <vt:variant>
        <vt:i4>0</vt:i4>
      </vt:variant>
      <vt:variant>
        <vt:i4>5</vt:i4>
      </vt:variant>
      <vt:variant>
        <vt:lpwstr/>
      </vt:variant>
      <vt:variant>
        <vt:lpwstr>_Toc101529592</vt:lpwstr>
      </vt:variant>
      <vt:variant>
        <vt:i4>1179703</vt:i4>
      </vt:variant>
      <vt:variant>
        <vt:i4>20</vt:i4>
      </vt:variant>
      <vt:variant>
        <vt:i4>0</vt:i4>
      </vt:variant>
      <vt:variant>
        <vt:i4>5</vt:i4>
      </vt:variant>
      <vt:variant>
        <vt:lpwstr/>
      </vt:variant>
      <vt:variant>
        <vt:lpwstr>_Toc101529591</vt:lpwstr>
      </vt:variant>
      <vt:variant>
        <vt:i4>1179703</vt:i4>
      </vt:variant>
      <vt:variant>
        <vt:i4>17</vt:i4>
      </vt:variant>
      <vt:variant>
        <vt:i4>0</vt:i4>
      </vt:variant>
      <vt:variant>
        <vt:i4>5</vt:i4>
      </vt:variant>
      <vt:variant>
        <vt:lpwstr/>
      </vt:variant>
      <vt:variant>
        <vt:lpwstr>_Toc101529590</vt:lpwstr>
      </vt:variant>
      <vt:variant>
        <vt:i4>1245239</vt:i4>
      </vt:variant>
      <vt:variant>
        <vt:i4>14</vt:i4>
      </vt:variant>
      <vt:variant>
        <vt:i4>0</vt:i4>
      </vt:variant>
      <vt:variant>
        <vt:i4>5</vt:i4>
      </vt:variant>
      <vt:variant>
        <vt:lpwstr/>
      </vt:variant>
      <vt:variant>
        <vt:lpwstr>_Toc101529589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Claes Tidestav</cp:lastModifiedBy>
  <cp:revision>275</cp:revision>
  <cp:lastPrinted>2022-04-19T11:56:00Z</cp:lastPrinted>
  <dcterms:created xsi:type="dcterms:W3CDTF">2022-02-14T22:23:00Z</dcterms:created>
  <dcterms:modified xsi:type="dcterms:W3CDTF">2023-04-06T15:39:00Z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